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洛阳市中心医院</w:t>
      </w:r>
    </w:p>
    <w:p>
      <w:pPr>
        <w:jc w:val="center"/>
        <w:rPr>
          <w:rFonts w:hint="eastAsia" w:ascii="宋体" w:hAnsi="宋体" w:eastAsia="宋体" w:cs="宋体"/>
          <w:b/>
          <w:bCs/>
          <w:sz w:val="36"/>
          <w:szCs w:val="36"/>
        </w:rPr>
      </w:pPr>
      <w:r>
        <w:rPr>
          <w:rFonts w:hint="eastAsia" w:ascii="宋体" w:hAnsi="宋体" w:eastAsia="宋体" w:cs="宋体"/>
          <w:b/>
          <w:bCs/>
          <w:sz w:val="36"/>
          <w:szCs w:val="36"/>
          <w:lang w:val="en-US" w:eastAsia="zh-CN"/>
        </w:rPr>
        <w:t>2021年公开</w:t>
      </w:r>
      <w:bookmarkStart w:id="0" w:name="_GoBack"/>
      <w:bookmarkEnd w:id="0"/>
      <w:r>
        <w:rPr>
          <w:rFonts w:hint="eastAsia" w:ascii="宋体" w:hAnsi="宋体" w:eastAsia="宋体" w:cs="宋体"/>
          <w:b/>
          <w:bCs/>
          <w:sz w:val="36"/>
          <w:szCs w:val="36"/>
          <w:lang w:val="en-US" w:eastAsia="zh-CN"/>
        </w:rPr>
        <w:t>招聘健康承诺书</w:t>
      </w:r>
    </w:p>
    <w:tbl>
      <w:tblPr>
        <w:tblStyle w:val="3"/>
        <w:tblW w:w="94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3"/>
        <w:gridCol w:w="2118"/>
        <w:gridCol w:w="943"/>
        <w:gridCol w:w="512"/>
        <w:gridCol w:w="2733"/>
        <w:gridCol w:w="1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663" w:type="dxa"/>
            <w:vAlign w:val="center"/>
          </w:tcPr>
          <w:p>
            <w:pPr>
              <w:numPr>
                <w:ilvl w:val="0"/>
                <w:numId w:val="0"/>
              </w:numPr>
              <w:spacing w:line="34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姓  </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名</w:t>
            </w:r>
          </w:p>
        </w:tc>
        <w:tc>
          <w:tcPr>
            <w:tcW w:w="2118" w:type="dxa"/>
            <w:vAlign w:val="center"/>
          </w:tcPr>
          <w:p>
            <w:pPr>
              <w:numPr>
                <w:ilvl w:val="0"/>
                <w:numId w:val="0"/>
              </w:numPr>
              <w:spacing w:line="340" w:lineRule="exact"/>
              <w:ind w:left="420" w:leftChars="0"/>
              <w:jc w:val="center"/>
              <w:rPr>
                <w:rFonts w:hint="eastAsia" w:ascii="仿宋_GB2312" w:hAnsi="仿宋_GB2312" w:eastAsia="仿宋_GB2312" w:cs="仿宋_GB2312"/>
                <w:sz w:val="28"/>
                <w:szCs w:val="28"/>
              </w:rPr>
            </w:pPr>
          </w:p>
          <w:p>
            <w:pPr>
              <w:numPr>
                <w:ilvl w:val="0"/>
                <w:numId w:val="0"/>
              </w:numPr>
              <w:spacing w:line="340" w:lineRule="exact"/>
              <w:ind w:left="420" w:leftChars="0"/>
              <w:jc w:val="center"/>
              <w:rPr>
                <w:rFonts w:hint="eastAsia" w:ascii="仿宋_GB2312" w:hAnsi="仿宋_GB2312" w:eastAsia="仿宋_GB2312" w:cs="仿宋_GB2312"/>
                <w:sz w:val="28"/>
                <w:szCs w:val="28"/>
              </w:rPr>
            </w:pPr>
          </w:p>
        </w:tc>
        <w:tc>
          <w:tcPr>
            <w:tcW w:w="1455" w:type="dxa"/>
            <w:gridSpan w:val="2"/>
            <w:vAlign w:val="center"/>
          </w:tcPr>
          <w:p>
            <w:pPr>
              <w:numPr>
                <w:ilvl w:val="0"/>
                <w:numId w:val="0"/>
              </w:numPr>
              <w:spacing w:line="34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身份证号</w:t>
            </w:r>
          </w:p>
        </w:tc>
        <w:tc>
          <w:tcPr>
            <w:tcW w:w="4213" w:type="dxa"/>
            <w:gridSpan w:val="2"/>
            <w:vAlign w:val="center"/>
          </w:tcPr>
          <w:p>
            <w:pPr>
              <w:numPr>
                <w:ilvl w:val="0"/>
                <w:numId w:val="0"/>
              </w:numPr>
              <w:spacing w:line="340" w:lineRule="exact"/>
              <w:ind w:left="420" w:leftChars="0"/>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3781" w:type="dxa"/>
            <w:gridSpan w:val="2"/>
            <w:vAlign w:val="center"/>
          </w:tcPr>
          <w:p>
            <w:pPr>
              <w:spacing w:line="34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是否为</w:t>
            </w:r>
            <w:r>
              <w:rPr>
                <w:rFonts w:hint="eastAsia" w:ascii="仿宋_GB2312" w:hAnsi="仿宋_GB2312" w:eastAsia="仿宋_GB2312" w:cs="仿宋_GB2312"/>
                <w:b/>
                <w:bCs/>
                <w:sz w:val="28"/>
                <w:szCs w:val="28"/>
                <w:lang w:val="en-US" w:eastAsia="zh-CN"/>
              </w:rPr>
              <w:t>境外或疫情中高风险地区</w:t>
            </w:r>
            <w:r>
              <w:rPr>
                <w:rFonts w:hint="eastAsia" w:ascii="仿宋_GB2312" w:hAnsi="仿宋_GB2312" w:eastAsia="仿宋_GB2312" w:cs="仿宋_GB2312"/>
                <w:b/>
                <w:bCs/>
                <w:sz w:val="28"/>
                <w:szCs w:val="28"/>
              </w:rPr>
              <w:t>返</w:t>
            </w:r>
            <w:r>
              <w:rPr>
                <w:rFonts w:hint="eastAsia" w:ascii="仿宋_GB2312" w:hAnsi="仿宋_GB2312" w:eastAsia="仿宋_GB2312" w:cs="仿宋_GB2312"/>
                <w:b/>
                <w:bCs/>
                <w:sz w:val="28"/>
                <w:szCs w:val="28"/>
                <w:lang w:eastAsia="zh-CN"/>
              </w:rPr>
              <w:t>洛</w:t>
            </w:r>
            <w:r>
              <w:rPr>
                <w:rFonts w:hint="eastAsia" w:ascii="仿宋_GB2312" w:hAnsi="仿宋_GB2312" w:eastAsia="仿宋_GB2312" w:cs="仿宋_GB2312"/>
                <w:b/>
                <w:bCs/>
                <w:sz w:val="28"/>
                <w:szCs w:val="28"/>
              </w:rPr>
              <w:t>人员</w:t>
            </w:r>
          </w:p>
        </w:tc>
        <w:tc>
          <w:tcPr>
            <w:tcW w:w="1455" w:type="dxa"/>
            <w:gridSpan w:val="2"/>
            <w:vAlign w:val="center"/>
          </w:tcPr>
          <w:p>
            <w:pPr>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是/否</w:t>
            </w:r>
          </w:p>
        </w:tc>
        <w:tc>
          <w:tcPr>
            <w:tcW w:w="2733" w:type="dxa"/>
            <w:vAlign w:val="center"/>
          </w:tcPr>
          <w:p>
            <w:pPr>
              <w:spacing w:line="34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若是，是否</w:t>
            </w:r>
            <w:r>
              <w:rPr>
                <w:rFonts w:hint="eastAsia" w:ascii="仿宋_GB2312" w:hAnsi="仿宋_GB2312" w:eastAsia="仿宋_GB2312" w:cs="仿宋_GB2312"/>
                <w:b/>
                <w:bCs/>
                <w:sz w:val="28"/>
                <w:szCs w:val="28"/>
                <w:lang w:eastAsia="zh-CN"/>
              </w:rPr>
              <w:t>完成医学</w:t>
            </w:r>
            <w:r>
              <w:rPr>
                <w:rFonts w:hint="eastAsia" w:ascii="仿宋_GB2312" w:hAnsi="仿宋_GB2312" w:eastAsia="仿宋_GB2312" w:cs="仿宋_GB2312"/>
                <w:b/>
                <w:bCs/>
                <w:sz w:val="28"/>
                <w:szCs w:val="28"/>
                <w:lang w:val="en-US" w:eastAsia="zh-CN"/>
              </w:rPr>
              <w:t>隔离</w:t>
            </w:r>
            <w:r>
              <w:rPr>
                <w:rFonts w:hint="eastAsia" w:ascii="仿宋_GB2312" w:hAnsi="仿宋_GB2312" w:eastAsia="仿宋_GB2312" w:cs="仿宋_GB2312"/>
                <w:b/>
                <w:bCs/>
                <w:sz w:val="28"/>
                <w:szCs w:val="28"/>
              </w:rPr>
              <w:t>观察</w:t>
            </w:r>
          </w:p>
        </w:tc>
        <w:tc>
          <w:tcPr>
            <w:tcW w:w="1480" w:type="dxa"/>
            <w:vAlign w:val="center"/>
          </w:tcPr>
          <w:p>
            <w:pPr>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969" w:type="dxa"/>
            <w:gridSpan w:val="5"/>
            <w:vAlign w:val="center"/>
          </w:tcPr>
          <w:p>
            <w:pPr>
              <w:spacing w:line="24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有无发热</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lang w:val="en-US" w:eastAsia="zh-CN"/>
              </w:rPr>
              <w:t>≥37.3°）</w:t>
            </w:r>
            <w:r>
              <w:rPr>
                <w:rFonts w:hint="eastAsia" w:ascii="仿宋_GB2312" w:hAnsi="仿宋_GB2312" w:eastAsia="仿宋_GB2312" w:cs="仿宋_GB2312"/>
                <w:b/>
                <w:bCs/>
                <w:sz w:val="28"/>
                <w:szCs w:val="28"/>
              </w:rPr>
              <w:t>、</w:t>
            </w:r>
            <w:r>
              <w:rPr>
                <w:rFonts w:hint="eastAsia" w:ascii="仿宋_GB2312" w:hAnsi="仿宋_GB2312" w:eastAsia="仿宋_GB2312" w:cs="仿宋_GB2312"/>
                <w:b/>
                <w:bCs/>
                <w:sz w:val="28"/>
                <w:szCs w:val="28"/>
                <w:lang w:val="en-US" w:eastAsia="zh-CN"/>
              </w:rPr>
              <w:t>干咳</w:t>
            </w:r>
            <w:r>
              <w:rPr>
                <w:rFonts w:hint="eastAsia" w:ascii="仿宋_GB2312" w:hAnsi="仿宋_GB2312" w:eastAsia="仿宋_GB2312" w:cs="仿宋_GB2312"/>
                <w:b/>
                <w:bCs/>
                <w:sz w:val="28"/>
                <w:szCs w:val="28"/>
              </w:rPr>
              <w:t>、胸闷</w:t>
            </w:r>
            <w:r>
              <w:rPr>
                <w:rFonts w:hint="eastAsia" w:ascii="仿宋_GB2312" w:hAnsi="仿宋_GB2312" w:eastAsia="仿宋_GB2312" w:cs="仿宋_GB2312"/>
                <w:b/>
                <w:bCs/>
                <w:sz w:val="28"/>
                <w:szCs w:val="28"/>
                <w:lang w:eastAsia="zh-CN"/>
              </w:rPr>
              <w:t>、腹泻</w:t>
            </w:r>
            <w:r>
              <w:rPr>
                <w:rFonts w:hint="eastAsia" w:ascii="仿宋_GB2312" w:hAnsi="仿宋_GB2312" w:eastAsia="仿宋_GB2312" w:cs="仿宋_GB2312"/>
                <w:b/>
                <w:bCs/>
                <w:sz w:val="28"/>
                <w:szCs w:val="28"/>
              </w:rPr>
              <w:t>等不适症状</w:t>
            </w:r>
          </w:p>
        </w:tc>
        <w:tc>
          <w:tcPr>
            <w:tcW w:w="1480" w:type="dxa"/>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49" w:type="dxa"/>
            <w:gridSpan w:val="6"/>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left"/>
              <w:textAlignment w:val="auto"/>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eastAsia="zh-CN"/>
              </w:rPr>
              <w:t>根据《中华人民共和国传染病防治法》、《突发公共卫生事件应急条例》等相关规定，在疫情防控期间，任何单位和个人都有依法履行报告责任，不得隐瞒、缓报、谎报或授意他人隐偿缓报、谎报，造成一定后果的，将依法追究报告人责任。为了确保每名考生身体健康和生命安全，我本人做出以下保证和承诺：</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left"/>
              <w:textAlignment w:val="auto"/>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eastAsia="zh-CN"/>
              </w:rPr>
              <w:t>1、招聘考试前本人及家庭成员14天内没有被诊断为新冠肺炎、疑似患者、无症状感染者、密切接触者及密切接触者的密切接触者，或与其有接触史；</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left"/>
              <w:textAlignment w:val="auto"/>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eastAsia="zh-CN"/>
              </w:rPr>
              <w:t>2、招聘考试前14天内没有发热</w:t>
            </w:r>
            <w:r>
              <w:rPr>
                <w:rFonts w:hint="eastAsia" w:ascii="楷体_GB2312" w:hAnsi="楷体_GB2312" w:eastAsia="楷体_GB2312" w:cs="楷体_GB2312"/>
                <w:b/>
                <w:bCs/>
                <w:sz w:val="28"/>
                <w:szCs w:val="28"/>
                <w:lang w:val="en-US" w:eastAsia="zh-CN"/>
              </w:rPr>
              <w:t>和（或）呼吸道症状等新冠肺炎相关临床表现</w:t>
            </w:r>
            <w:r>
              <w:rPr>
                <w:rFonts w:hint="eastAsia" w:ascii="楷体_GB2312" w:hAnsi="楷体_GB2312" w:eastAsia="楷体_GB2312" w:cs="楷体_GB2312"/>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left"/>
              <w:textAlignment w:val="auto"/>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val="en-US" w:eastAsia="zh-CN"/>
              </w:rPr>
              <w:t>3、</w:t>
            </w:r>
            <w:r>
              <w:rPr>
                <w:rFonts w:hint="eastAsia" w:ascii="楷体_GB2312" w:hAnsi="楷体_GB2312" w:eastAsia="楷体_GB2312" w:cs="楷体_GB2312"/>
                <w:b/>
                <w:bCs/>
                <w:sz w:val="28"/>
                <w:szCs w:val="28"/>
                <w:lang w:eastAsia="zh-CN"/>
              </w:rPr>
              <w:t>招聘考试前14天内没有新冠病毒感染者报告社区旅行或居住史；</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left"/>
              <w:textAlignment w:val="auto"/>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eastAsia="zh-CN"/>
              </w:rPr>
              <w:t>4、招聘考试前14天内没有接触过来自有病例或无症状感染者报告社区的发热和/或有呼吸道症状患者；</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left"/>
              <w:textAlignment w:val="auto"/>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eastAsia="zh-CN"/>
              </w:rPr>
              <w:t>5、招聘考试前14天没有去过有新冠肺炎中高风险地区或来自新冠肺炎聚集性疫情场所；</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left"/>
              <w:textAlignment w:val="auto"/>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6、</w:t>
            </w:r>
            <w:r>
              <w:rPr>
                <w:rFonts w:hint="eastAsia" w:ascii="楷体_GB2312" w:hAnsi="楷体_GB2312" w:eastAsia="楷体_GB2312" w:cs="楷体_GB2312"/>
                <w:b/>
                <w:bCs/>
                <w:sz w:val="28"/>
                <w:szCs w:val="28"/>
                <w:lang w:eastAsia="zh-CN"/>
              </w:rPr>
              <w:t>招聘考试前所乘坐的飞机、火车、汽车或其它交通工具有没有新冠病毒感染者。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24" w:type="dxa"/>
            <w:gridSpan w:val="3"/>
            <w:tcBorders>
              <w:top w:val="single" w:color="auto" w:sz="4" w:space="0"/>
              <w:left w:val="nil"/>
              <w:bottom w:val="nil"/>
              <w:right w:val="nil"/>
            </w:tcBorders>
            <w:vAlign w:val="top"/>
          </w:tcPr>
          <w:p>
            <w:pPr>
              <w:numPr>
                <w:ilvl w:val="0"/>
                <w:numId w:val="0"/>
              </w:numPr>
              <w:spacing w:line="240" w:lineRule="auto"/>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应聘人员</w:t>
            </w:r>
            <w:r>
              <w:rPr>
                <w:rFonts w:hint="eastAsia" w:ascii="仿宋_GB2312" w:hAnsi="仿宋_GB2312" w:eastAsia="仿宋_GB2312" w:cs="仿宋_GB2312"/>
                <w:b/>
                <w:bCs/>
                <w:sz w:val="28"/>
                <w:szCs w:val="28"/>
              </w:rPr>
              <w:t xml:space="preserve">（签字）：  </w:t>
            </w:r>
          </w:p>
        </w:tc>
        <w:tc>
          <w:tcPr>
            <w:tcW w:w="4725" w:type="dxa"/>
            <w:gridSpan w:val="3"/>
            <w:tcBorders>
              <w:top w:val="single" w:color="auto" w:sz="4" w:space="0"/>
              <w:left w:val="nil"/>
              <w:bottom w:val="nil"/>
              <w:right w:val="nil"/>
            </w:tcBorders>
            <w:vAlign w:val="top"/>
          </w:tcPr>
          <w:p>
            <w:pPr>
              <w:numPr>
                <w:ilvl w:val="0"/>
                <w:numId w:val="0"/>
              </w:numPr>
              <w:spacing w:line="240" w:lineRule="auto"/>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jc w:val="center"/>
        <w:rPr>
          <w:rFonts w:hint="eastAsia" w:ascii="仿宋_GB2312" w:hAnsi="宋体" w:eastAsia="仿宋_GB2312" w:cs="仿宋_GB2312"/>
          <w:b w:val="0"/>
          <w:i w:val="0"/>
          <w:caps w:val="0"/>
          <w:color w:val="333333"/>
          <w:spacing w:val="0"/>
          <w:sz w:val="31"/>
          <w:szCs w:val="31"/>
          <w:shd w:val="clear" w:fill="FFFFFF"/>
          <w:lang w:val="en-US" w:eastAsia="zh-CN"/>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2746E"/>
    <w:rsid w:val="036E264D"/>
    <w:rsid w:val="048D4307"/>
    <w:rsid w:val="05A77C8E"/>
    <w:rsid w:val="07C156F1"/>
    <w:rsid w:val="07FA39D1"/>
    <w:rsid w:val="09197239"/>
    <w:rsid w:val="0D2E360F"/>
    <w:rsid w:val="0F6D688E"/>
    <w:rsid w:val="0FE265BF"/>
    <w:rsid w:val="15FC4D73"/>
    <w:rsid w:val="17EB3A83"/>
    <w:rsid w:val="1A5E32A7"/>
    <w:rsid w:val="1C3E14C9"/>
    <w:rsid w:val="1C645CDA"/>
    <w:rsid w:val="1D891707"/>
    <w:rsid w:val="21C85977"/>
    <w:rsid w:val="295F3015"/>
    <w:rsid w:val="2F4E23DC"/>
    <w:rsid w:val="300102AF"/>
    <w:rsid w:val="326132A8"/>
    <w:rsid w:val="352C1089"/>
    <w:rsid w:val="37132F02"/>
    <w:rsid w:val="39544E35"/>
    <w:rsid w:val="3B1C2301"/>
    <w:rsid w:val="3BA04D93"/>
    <w:rsid w:val="3BAE02FF"/>
    <w:rsid w:val="3BF62E14"/>
    <w:rsid w:val="3CA01F5D"/>
    <w:rsid w:val="3DA30F39"/>
    <w:rsid w:val="3EE855DB"/>
    <w:rsid w:val="3F970D14"/>
    <w:rsid w:val="426F645B"/>
    <w:rsid w:val="42BC4C7D"/>
    <w:rsid w:val="45281234"/>
    <w:rsid w:val="4A537A57"/>
    <w:rsid w:val="4D9107DC"/>
    <w:rsid w:val="4E6E60A7"/>
    <w:rsid w:val="537E00A8"/>
    <w:rsid w:val="54DC3E65"/>
    <w:rsid w:val="5984052E"/>
    <w:rsid w:val="5C915EE6"/>
    <w:rsid w:val="63245FFD"/>
    <w:rsid w:val="64783860"/>
    <w:rsid w:val="67FA7495"/>
    <w:rsid w:val="68A00FF8"/>
    <w:rsid w:val="6E923583"/>
    <w:rsid w:val="6F2E1166"/>
    <w:rsid w:val="71AE331A"/>
    <w:rsid w:val="73B140C1"/>
    <w:rsid w:val="7A9C5533"/>
    <w:rsid w:val="7AAD57BD"/>
    <w:rsid w:val="7AB70DAC"/>
    <w:rsid w:val="7D154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小珠</cp:lastModifiedBy>
  <dcterms:modified xsi:type="dcterms:W3CDTF">2021-01-18T10:27:11Z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