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9" w:lineRule="exact"/>
        <w:ind w:firstLine="0"/>
        <w:jc w:val="center"/>
        <w:rPr>
          <w:sz w:val="30"/>
          <w:szCs w:val="30"/>
        </w:rPr>
      </w:pPr>
      <w:r>
        <w:rPr>
          <w:rFonts w:hint="eastAsia"/>
          <w:color w:val="000000"/>
          <w:sz w:val="30"/>
          <w:szCs w:val="30"/>
          <w:lang w:val="en-US" w:eastAsia="zh-CN"/>
        </w:rPr>
        <w:t>方案</w:t>
      </w:r>
      <w:r>
        <w:rPr>
          <w:color w:val="000000"/>
          <w:sz w:val="30"/>
          <w:szCs w:val="30"/>
        </w:rPr>
        <w:t>审查</w:t>
      </w:r>
      <w:r>
        <w:rPr>
          <w:rFonts w:hint="eastAsia"/>
          <w:color w:val="000000"/>
          <w:sz w:val="30"/>
          <w:szCs w:val="30"/>
          <w:lang w:val="en-US" w:eastAsia="zh-CN"/>
        </w:rPr>
        <w:t>工作</w:t>
      </w:r>
      <w:r>
        <w:rPr>
          <w:color w:val="000000"/>
          <w:sz w:val="30"/>
          <w:szCs w:val="30"/>
        </w:rPr>
        <w:t>表</w:t>
      </w:r>
    </w:p>
    <w:tbl>
      <w:tblPr>
        <w:tblStyle w:val="7"/>
        <w:tblpPr w:leftFromText="180" w:rightFromText="180" w:vertAnchor="page" w:horzAnchor="page" w:tblpX="1859" w:tblpY="2393"/>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43"/>
        <w:gridCol w:w="2185"/>
        <w:gridCol w:w="2185"/>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2243" w:type="dxa"/>
            <w:noWrap w:val="0"/>
            <w:vAlign w:val="top"/>
          </w:tcPr>
          <w:p>
            <w:pPr>
              <w:spacing w:line="380" w:lineRule="exact"/>
              <w:jc w:val="center"/>
              <w:rPr>
                <w:rFonts w:hint="eastAsia" w:eastAsiaTheme="minorEastAsia"/>
                <w:lang w:eastAsia="zh-CN"/>
              </w:rPr>
            </w:pPr>
            <w:r>
              <w:rPr>
                <w:rFonts w:hint="eastAsia" w:ascii="宋体" w:hAnsi="宋体" w:eastAsia="宋体"/>
                <w:color w:val="000000"/>
                <w:sz w:val="23"/>
                <w:lang w:eastAsia="zh-CN"/>
              </w:rPr>
              <w:t>受理号</w:t>
            </w:r>
          </w:p>
        </w:tc>
        <w:tc>
          <w:tcPr>
            <w:tcW w:w="6556" w:type="dxa"/>
            <w:gridSpan w:val="3"/>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2243" w:type="dxa"/>
            <w:noWrap w:val="0"/>
            <w:vAlign w:val="top"/>
          </w:tcPr>
          <w:p>
            <w:pPr>
              <w:spacing w:line="380" w:lineRule="exact"/>
              <w:jc w:val="center"/>
            </w:pPr>
            <w:r>
              <w:rPr>
                <w:rFonts w:hint="eastAsia" w:ascii="宋体" w:hAnsi="宋体" w:eastAsia="宋体"/>
                <w:color w:val="000000"/>
                <w:sz w:val="23"/>
              </w:rPr>
              <w:t>项目名称</w:t>
            </w:r>
          </w:p>
        </w:tc>
        <w:tc>
          <w:tcPr>
            <w:tcW w:w="6556" w:type="dxa"/>
            <w:gridSpan w:val="3"/>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atLeast"/>
        </w:trPr>
        <w:tc>
          <w:tcPr>
            <w:tcW w:w="2243" w:type="dxa"/>
            <w:noWrap w:val="0"/>
            <w:vAlign w:val="top"/>
          </w:tcPr>
          <w:p>
            <w:pPr>
              <w:spacing w:line="360" w:lineRule="exact"/>
              <w:jc w:val="center"/>
            </w:pPr>
            <w:r>
              <w:rPr>
                <w:rFonts w:hint="eastAsia" w:ascii="宋体" w:hAnsi="宋体" w:eastAsia="宋体"/>
                <w:color w:val="000000"/>
                <w:sz w:val="23"/>
              </w:rPr>
              <w:t>项目来源</w:t>
            </w:r>
          </w:p>
        </w:tc>
        <w:tc>
          <w:tcPr>
            <w:tcW w:w="6556" w:type="dxa"/>
            <w:gridSpan w:val="3"/>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trPr>
        <w:tc>
          <w:tcPr>
            <w:tcW w:w="2243" w:type="dxa"/>
            <w:noWrap w:val="0"/>
            <w:vAlign w:val="top"/>
          </w:tcPr>
          <w:p>
            <w:pPr>
              <w:spacing w:line="380" w:lineRule="exact"/>
              <w:jc w:val="center"/>
            </w:pPr>
            <w:r>
              <w:rPr>
                <w:rFonts w:hint="eastAsia" w:ascii="宋体" w:hAnsi="宋体" w:eastAsia="宋体"/>
                <w:color w:val="000000"/>
                <w:sz w:val="23"/>
              </w:rPr>
              <w:t>专业科室</w:t>
            </w:r>
          </w:p>
        </w:tc>
        <w:tc>
          <w:tcPr>
            <w:tcW w:w="6556" w:type="dxa"/>
            <w:gridSpan w:val="3"/>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trPr>
        <w:tc>
          <w:tcPr>
            <w:tcW w:w="2243" w:type="dxa"/>
            <w:noWrap w:val="0"/>
            <w:vAlign w:val="top"/>
          </w:tcPr>
          <w:p>
            <w:pPr>
              <w:spacing w:line="380" w:lineRule="exact"/>
              <w:jc w:val="center"/>
              <w:rPr>
                <w:rFonts w:hint="eastAsia" w:ascii="宋体" w:hAnsi="宋体" w:eastAsia="宋体"/>
                <w:color w:val="000000"/>
                <w:sz w:val="23"/>
                <w:lang w:val="en-US" w:eastAsia="zh-CN"/>
              </w:rPr>
            </w:pPr>
            <w:r>
              <w:rPr>
                <w:rFonts w:hint="eastAsia" w:ascii="宋体" w:hAnsi="宋体" w:eastAsia="宋体"/>
                <w:color w:val="000000"/>
                <w:sz w:val="23"/>
                <w:lang w:val="en-US" w:eastAsia="zh-CN"/>
              </w:rPr>
              <w:t>研究者</w:t>
            </w:r>
          </w:p>
        </w:tc>
        <w:tc>
          <w:tcPr>
            <w:tcW w:w="2185" w:type="dxa"/>
            <w:noWrap w:val="0"/>
            <w:vAlign w:val="top"/>
          </w:tcPr>
          <w:p/>
        </w:tc>
        <w:tc>
          <w:tcPr>
            <w:tcW w:w="2185" w:type="dxa"/>
            <w:noWrap w:val="0"/>
            <w:vAlign w:val="center"/>
          </w:tcPr>
          <w:p>
            <w:pPr>
              <w:jc w:val="center"/>
              <w:rPr>
                <w:rFonts w:hint="default" w:eastAsia="宋体"/>
                <w:lang w:val="en-US" w:eastAsia="zh-CN"/>
              </w:rPr>
            </w:pPr>
            <w:r>
              <w:rPr>
                <w:rFonts w:hint="eastAsia"/>
                <w:sz w:val="22"/>
                <w:szCs w:val="22"/>
                <w:lang w:val="en-US" w:eastAsia="zh-CN"/>
              </w:rPr>
              <w:t>联系方式</w:t>
            </w:r>
          </w:p>
        </w:tc>
        <w:tc>
          <w:tcPr>
            <w:tcW w:w="2186" w:type="dxa"/>
            <w:noWrap w:val="0"/>
            <w:vAlign w:val="top"/>
          </w:tcPr>
          <w:p/>
        </w:tc>
      </w:tr>
    </w:tbl>
    <w:p>
      <w:pPr>
        <w:spacing w:after="32" w:line="307" w:lineRule="exact"/>
        <w:jc w:val="both"/>
        <w:rPr>
          <w:color w:val="000000"/>
          <w:sz w:val="22"/>
        </w:rPr>
      </w:pPr>
    </w:p>
    <w:p>
      <w:pPr>
        <w:numPr>
          <w:ilvl w:val="0"/>
          <w:numId w:val="1"/>
        </w:numPr>
        <w:bidi w:val="0"/>
        <w:jc w:val="left"/>
        <w:rPr>
          <w:rFonts w:hint="eastAsia"/>
          <w:sz w:val="24"/>
          <w:szCs w:val="24"/>
          <w:lang w:val="en-US" w:eastAsia="zh-CN"/>
        </w:rPr>
      </w:pPr>
      <w:r>
        <w:rPr>
          <w:rFonts w:hint="eastAsia"/>
          <w:sz w:val="24"/>
          <w:szCs w:val="24"/>
          <w:lang w:val="en-US" w:eastAsia="zh-CN"/>
        </w:rPr>
        <w:t>研究的价值</w:t>
      </w:r>
    </w:p>
    <w:tbl>
      <w:tblPr>
        <w:tblStyle w:val="8"/>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c>
          <w:tcPr>
            <w:tcW w:w="8867" w:type="dxa"/>
            <w:tcBorders>
              <w:top w:val="nil"/>
              <w:left w:val="nil"/>
              <w:bottom w:val="nil"/>
              <w:right w:val="nil"/>
            </w:tcBorders>
            <w:shd w:val="clear" w:color="auto" w:fill="BEBEBE"/>
            <w:noWrap w:val="0"/>
            <w:vAlign w:val="center"/>
          </w:tcPr>
          <w:p>
            <w:pPr>
              <w:jc w:val="both"/>
              <w:rPr>
                <w:rFonts w:hint="eastAsia"/>
                <w:sz w:val="21"/>
                <w:szCs w:val="21"/>
                <w:shd w:val="clear" w:color="auto" w:fill="auto"/>
                <w:lang w:val="en-US" w:eastAsia="zh-CN"/>
              </w:rPr>
            </w:pPr>
            <w:r>
              <w:rPr>
                <w:rFonts w:hint="eastAsia"/>
                <w:sz w:val="21"/>
                <w:szCs w:val="21"/>
                <w:shd w:val="clear" w:color="auto" w:fill="auto"/>
                <w:lang w:val="en-US" w:eastAsia="zh-CN"/>
              </w:rPr>
              <w:t>标准：研究具有科学价值和社会价值</w:t>
            </w:r>
          </w:p>
          <w:p>
            <w:pPr>
              <w:jc w:val="both"/>
              <w:rPr>
                <w:rFonts w:hint="eastAsia"/>
                <w:sz w:val="21"/>
                <w:szCs w:val="21"/>
                <w:shd w:val="clear" w:color="auto" w:fill="auto"/>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仿宋" w:hAnsi="仿宋" w:eastAsia="仿宋" w:cs="仿宋"/>
          <w:lang w:val="en-US" w:eastAsia="zh-CN"/>
        </w:rPr>
      </w:pPr>
      <w:r>
        <w:rPr>
          <w:rFonts w:hint="eastAsia" w:ascii="仿宋" w:hAnsi="仿宋" w:eastAsia="仿宋" w:cs="仿宋"/>
          <w:lang w:val="en-US" w:eastAsia="zh-CN"/>
        </w:rPr>
        <w:t>审查要素</w:t>
      </w:r>
    </w:p>
    <w:p>
      <w:pPr>
        <w:bidi w:val="0"/>
        <w:rPr>
          <w:rFonts w:hint="default" w:ascii="宋体" w:hAnsi="宋体" w:eastAsia="宋体" w:cs="宋体"/>
          <w:lang w:val="en-US" w:eastAsia="zh-CN"/>
        </w:rPr>
      </w:pPr>
      <w:r>
        <w:rPr>
          <w:rFonts w:hint="eastAsia" w:ascii="宋体" w:hAnsi="宋体" w:eastAsia="宋体" w:cs="宋体"/>
          <w:lang w:val="en-US" w:eastAsia="zh-CN"/>
        </w:rPr>
        <w:t>1.研究的社会价值</w:t>
      </w:r>
      <w:r>
        <w:rPr>
          <w:rFonts w:hint="eastAsia" w:ascii="微软雅黑" w:hAnsi="微软雅黑" w:eastAsia="微软雅黑" w:cs="微软雅黑"/>
          <w:lang w:val="en-US" w:eastAsia="zh-CN"/>
        </w:rPr>
        <w:t>¹</w:t>
      </w:r>
    </w:p>
    <w:tbl>
      <w:tblPr>
        <w:tblStyle w:val="8"/>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6"/>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816" w:type="dxa"/>
            <w:noWrap w:val="0"/>
            <w:vAlign w:val="center"/>
          </w:tcPr>
          <w:p>
            <w:pPr>
              <w:pStyle w:val="6"/>
              <w:bidi w:val="0"/>
              <w:rPr>
                <w:rFonts w:hint="eastAsia"/>
                <w:lang w:val="en-US" w:eastAsia="zh-CN"/>
              </w:rPr>
            </w:pPr>
            <w:r>
              <w:rPr>
                <w:rFonts w:hint="eastAsia"/>
              </w:rPr>
              <w:t>研究可能产生的信息对一个有意义的健康问题的理解或干预直接相关</w:t>
            </w:r>
          </w:p>
        </w:tc>
        <w:tc>
          <w:tcPr>
            <w:tcW w:w="1004" w:type="dxa"/>
            <w:noWrap w:val="0"/>
            <w:vAlign w:val="center"/>
          </w:tcPr>
          <w:p>
            <w:pPr>
              <w:pStyle w:val="6"/>
              <w:bidi w:val="0"/>
              <w:jc w:val="both"/>
              <w:rPr>
                <w:rFonts w:hint="default" w:eastAsia="宋体"/>
                <w:lang w:val="en-US" w:eastAsia="zh-CN"/>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816" w:type="dxa"/>
            <w:noWrap w:val="0"/>
            <w:vAlign w:val="center"/>
          </w:tcPr>
          <w:p>
            <w:pPr>
              <w:pStyle w:val="6"/>
              <w:rPr>
                <w:rFonts w:hint="eastAsia"/>
                <w:lang w:val="en-US" w:eastAsia="zh-CN"/>
              </w:rPr>
            </w:pPr>
            <w:r>
              <w:t>研究对促进个人或公共卫生有预期的贡献</w:t>
            </w:r>
          </w:p>
        </w:tc>
        <w:tc>
          <w:tcPr>
            <w:tcW w:w="1004" w:type="dxa"/>
            <w:noWrap w:val="0"/>
            <w:vAlign w:val="center"/>
          </w:tcPr>
          <w:p>
            <w:pPr>
              <w:pStyle w:val="6"/>
              <w:bidi w:val="0"/>
              <w:jc w:val="center"/>
              <w:rPr>
                <w:rFonts w:hint="eastAsia"/>
                <w:lang w:val="en-US" w:eastAsia="zh-CN"/>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816" w:type="dxa"/>
            <w:noWrap w:val="0"/>
            <w:vAlign w:val="center"/>
          </w:tcPr>
          <w:p>
            <w:pPr>
              <w:pStyle w:val="6"/>
              <w:rPr>
                <w:rFonts w:hint="eastAsia"/>
                <w:lang w:val="en-US" w:eastAsia="zh-CN"/>
              </w:rPr>
            </w:pPr>
            <w:r>
              <w:t>研究具有重要性。研究重要性的程度取决于健康需求问题的重要性，方法的新颖性和预期的优点，解决问题的替代方法的优点等</w:t>
            </w:r>
          </w:p>
        </w:tc>
        <w:tc>
          <w:tcPr>
            <w:tcW w:w="1004" w:type="dxa"/>
            <w:noWrap w:val="0"/>
            <w:vAlign w:val="center"/>
          </w:tcPr>
          <w:p>
            <w:pPr>
              <w:pStyle w:val="6"/>
              <w:bidi w:val="0"/>
              <w:jc w:val="center"/>
              <w:rPr>
                <w:rFonts w:hint="default" w:ascii="Arial" w:hAnsi="Arial" w:cs="Arial"/>
              </w:rPr>
            </w:pPr>
          </w:p>
          <w:p>
            <w:pPr>
              <w:pStyle w:val="6"/>
              <w:bidi w:val="0"/>
              <w:jc w:val="center"/>
              <w:rPr>
                <w:rFonts w:hint="eastAsia"/>
                <w:lang w:val="en-US" w:eastAsia="zh-CN"/>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rPr>
          <w:rFonts w:hint="default" w:eastAsia="宋体"/>
          <w:lang w:val="en-US" w:eastAsia="zh-CN"/>
        </w:rPr>
      </w:pPr>
    </w:p>
    <w:p>
      <w:pPr>
        <w:numPr>
          <w:ilvl w:val="0"/>
          <w:numId w:val="0"/>
        </w:numPr>
        <w:ind w:leftChars="0"/>
        <w:rPr>
          <w:rFonts w:hint="default" w:eastAsia="宋体"/>
          <w:lang w:val="en-US" w:eastAsia="zh-CN"/>
        </w:rPr>
      </w:pPr>
      <w:r>
        <w:rPr>
          <w:rFonts w:hint="eastAsia" w:ascii="宋体" w:hAnsi="宋体" w:eastAsia="宋体" w:cs="宋体"/>
          <w:lang w:val="en-US" w:eastAsia="zh-CN"/>
        </w:rPr>
        <w:t>2.</w:t>
      </w:r>
      <w:r>
        <w:rPr>
          <w:rFonts w:hint="eastAsia"/>
          <w:lang w:val="en-US" w:eastAsia="zh-CN"/>
        </w:rPr>
        <w:t>研究的科学价值</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研究有充分的科学依据，临床前和临床的信息足以支持所提议的研究</w:t>
            </w:r>
          </w:p>
        </w:tc>
        <w:tc>
          <w:tcPr>
            <w:tcW w:w="98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研究设计科学合理，能够产生可靠、有效的信息，实现研究目的</w:t>
            </w:r>
          </w:p>
        </w:tc>
        <w:tc>
          <w:tcPr>
            <w:tcW w:w="98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临床研究方案清晰、详细、可操作</w:t>
            </w:r>
          </w:p>
        </w:tc>
        <w:tc>
          <w:tcPr>
            <w:tcW w:w="98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eastAsia="宋体"/>
          <w:lang w:val="en-US" w:eastAsia="zh-CN"/>
        </w:rPr>
      </w:pPr>
    </w:p>
    <w:p>
      <w:pPr>
        <w:numPr>
          <w:ilvl w:val="0"/>
          <w:numId w:val="1"/>
        </w:numPr>
        <w:bidi w:val="0"/>
        <w:jc w:val="left"/>
        <w:rPr>
          <w:rFonts w:hint="eastAsia"/>
          <w:sz w:val="24"/>
          <w:szCs w:val="24"/>
          <w:lang w:val="en-US" w:eastAsia="zh-CN"/>
        </w:rPr>
      </w:pPr>
      <w:r>
        <w:rPr>
          <w:rFonts w:hint="eastAsia"/>
          <w:sz w:val="24"/>
          <w:szCs w:val="24"/>
          <w:lang w:val="en-US" w:eastAsia="zh-CN"/>
        </w:rPr>
        <w:t>受试者的风险</w:t>
      </w:r>
    </w:p>
    <w:tbl>
      <w:tblPr>
        <w:tblStyle w:val="8"/>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c>
          <w:tcPr>
            <w:tcW w:w="8867" w:type="dxa"/>
            <w:tcBorders>
              <w:top w:val="nil"/>
              <w:left w:val="nil"/>
              <w:bottom w:val="nil"/>
              <w:right w:val="nil"/>
            </w:tcBorders>
            <w:shd w:val="clear" w:color="auto" w:fill="BEBEBE"/>
            <w:noWrap w:val="0"/>
            <w:vAlign w:val="center"/>
          </w:tcPr>
          <w:p>
            <w:pPr>
              <w:rPr>
                <w:rFonts w:hint="default"/>
                <w:sz w:val="21"/>
                <w:szCs w:val="21"/>
                <w:shd w:val="clear" w:color="auto" w:fill="auto"/>
                <w:vertAlign w:val="baseline"/>
                <w:lang w:val="en-US" w:eastAsia="zh-CN"/>
              </w:rPr>
            </w:pPr>
            <w:r>
              <w:rPr>
                <w:rFonts w:hint="eastAsia"/>
                <w:sz w:val="21"/>
                <w:szCs w:val="21"/>
                <w:shd w:val="clear" w:color="auto" w:fill="auto"/>
                <w:lang w:val="en-US" w:eastAsia="zh-CN"/>
              </w:rPr>
              <w:t>标准：受试者的风险最小化，确认受试者的风险与其参加研究的预期获益（如有）以及可以合理预期产生的知识的重要性相比是合理的</w:t>
            </w:r>
          </w:p>
        </w:tc>
      </w:tr>
    </w:tbl>
    <w:p>
      <w:pPr>
        <w:numPr>
          <w:ilvl w:val="0"/>
          <w:numId w:val="2"/>
        </w:numPr>
        <w:bidi w:val="0"/>
        <w:rPr>
          <w:rFonts w:hint="eastAsia" w:ascii="宋体" w:hAnsi="宋体" w:eastAsia="宋体" w:cs="宋体"/>
          <w:lang w:val="en-US" w:eastAsia="zh-CN"/>
        </w:rPr>
      </w:pPr>
      <w:r>
        <w:rPr>
          <w:rFonts w:hint="eastAsia" w:ascii="宋体" w:hAnsi="宋体" w:eastAsia="宋体" w:cs="宋体"/>
          <w:lang w:val="en-US" w:eastAsia="zh-CN"/>
        </w:rPr>
        <w:t>风险最小化</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通过采用与合理的研究设计相一致，且避免受试者暴露于不必要风险的研究程序，使受试者的风险减少到最低限度</w:t>
            </w:r>
          </w:p>
        </w:tc>
        <w:tc>
          <w:tcPr>
            <w:tcW w:w="989" w:type="dxa"/>
            <w:noWrap w:val="0"/>
            <w:vAlign w:val="center"/>
          </w:tcPr>
          <w:p>
            <w:pPr>
              <w:pStyle w:val="6"/>
              <w:bidi w:val="0"/>
              <w:jc w:val="both"/>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在任何适当的情况下，通过采用受试者诊断或治疗需要执行的程序，使受试者的风险减少到最低限度</w:t>
            </w:r>
          </w:p>
        </w:tc>
        <w:tc>
          <w:tcPr>
            <w:tcW w:w="989" w:type="dxa"/>
            <w:noWrap w:val="0"/>
            <w:vAlign w:val="center"/>
          </w:tcPr>
          <w:p>
            <w:pPr>
              <w:pStyle w:val="6"/>
              <w:bidi w:val="0"/>
              <w:jc w:val="both"/>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bidi w:val="0"/>
        <w:rPr>
          <w:rFonts w:hint="default" w:ascii="宋体" w:hAnsi="宋体" w:eastAsia="宋体" w:cs="宋体"/>
          <w:lang w:val="en-US" w:eastAsia="zh-CN"/>
        </w:rPr>
      </w:pPr>
      <w:r>
        <w:rPr>
          <w:rFonts w:hint="eastAsia" w:ascii="微软雅黑" w:hAnsi="微软雅黑" w:eastAsia="微软雅黑" w:cs="微软雅黑"/>
          <w:lang w:val="en-US" w:eastAsia="zh-CN"/>
        </w:rPr>
        <w:t xml:space="preserve">¹ </w:t>
      </w:r>
      <w:r>
        <w:rPr>
          <w:rFonts w:hint="eastAsia" w:ascii="宋体" w:hAnsi="宋体" w:eastAsia="宋体" w:cs="宋体"/>
          <w:sz w:val="18"/>
          <w:szCs w:val="20"/>
          <w:lang w:val="en-US" w:eastAsia="zh-CN"/>
        </w:rPr>
        <w:t xml:space="preserve"> 记录说明：每一要点的审查，没有问题在 √ 画圈，存在问题在 × 画圈，不适用在 － 画圈。下同</w:t>
      </w:r>
    </w:p>
    <w:p>
      <w:pPr>
        <w:numPr>
          <w:ilvl w:val="0"/>
          <w:numId w:val="0"/>
        </w:numPr>
        <w:rPr>
          <w:rFonts w:hint="default" w:eastAsia="宋体"/>
          <w:lang w:val="en-US" w:eastAsia="zh-CN"/>
        </w:rPr>
      </w:pPr>
    </w:p>
    <w:p>
      <w:pPr>
        <w:numPr>
          <w:ilvl w:val="0"/>
          <w:numId w:val="2"/>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受试者的风险与获益相权衡是合理的</w:t>
      </w:r>
    </w:p>
    <w:p>
      <w:pPr>
        <w:pStyle w:val="6"/>
        <w:numPr>
          <w:ilvl w:val="1"/>
          <w:numId w:val="2"/>
        </w:numPr>
      </w:pPr>
      <w:r>
        <w:t>对受试者没有潜在诊断、治疗或预防获益的研究</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风险必须最小化</w:t>
            </w:r>
          </w:p>
        </w:tc>
        <w:tc>
          <w:tcPr>
            <w:tcW w:w="98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风险与研究所获知识的社会价值和科学价值相比是适当的</w:t>
            </w:r>
          </w:p>
        </w:tc>
        <w:tc>
          <w:tcPr>
            <w:tcW w:w="98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pStyle w:val="6"/>
        <w:numPr>
          <w:ilvl w:val="0"/>
          <w:numId w:val="0"/>
        </w:numPr>
        <w:ind w:leftChars="0"/>
        <w:rPr>
          <w:rFonts w:hint="eastAsia"/>
          <w:lang w:val="en-US" w:eastAsia="zh-CN"/>
        </w:rPr>
      </w:pPr>
    </w:p>
    <w:p>
      <w:pPr>
        <w:pStyle w:val="6"/>
        <w:numPr>
          <w:ilvl w:val="1"/>
          <w:numId w:val="2"/>
        </w:numPr>
        <w:ind w:left="0" w:leftChars="0" w:firstLine="0" w:firstLineChars="0"/>
      </w:pPr>
      <w:r>
        <w:t>对受试者具有潜在诊断、治疗或预防获益的研究</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64" w:type="dxa"/>
            <w:noWrap w:val="0"/>
            <w:vAlign w:val="center"/>
          </w:tcPr>
          <w:p>
            <w:pPr>
              <w:pStyle w:val="6"/>
              <w:rPr>
                <w:rFonts w:hint="default" w:ascii="Calibri" w:hAnsi="Calibri" w:eastAsia="宋体" w:cs="Times New Roman"/>
                <w:sz w:val="21"/>
                <w:szCs w:val="22"/>
                <w:vertAlign w:val="baseline"/>
                <w:lang w:val="en-US" w:eastAsia="zh-CN"/>
              </w:rPr>
            </w:pPr>
            <w:r>
              <w:t>风险已被最小化，并且潜在的个人获益超过风险</w:t>
            </w:r>
          </w:p>
        </w:tc>
        <w:tc>
          <w:tcPr>
            <w:tcW w:w="98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64" w:type="dxa"/>
            <w:noWrap w:val="0"/>
            <w:vAlign w:val="center"/>
          </w:tcPr>
          <w:p>
            <w:pPr>
              <w:pStyle w:val="6"/>
              <w:rPr>
                <w:rFonts w:hint="eastAsia" w:ascii="Calibri" w:hAnsi="Calibri" w:eastAsia="宋体" w:cs="Times New Roman"/>
                <w:sz w:val="21"/>
                <w:szCs w:val="22"/>
                <w:vertAlign w:val="baseline"/>
                <w:lang w:val="en-US" w:eastAsia="zh-CN"/>
              </w:rPr>
            </w:pPr>
            <w:r>
              <w:t>根据预期风险和获益，已获得的证据提示研究干预至少与任何有效的替代方法同样</w:t>
            </w:r>
            <w:r>
              <w:rPr>
                <w:rFonts w:hint="eastAsia"/>
                <w:lang w:val="en-US" w:eastAsia="zh-CN"/>
              </w:rPr>
              <w:t>有利</w:t>
            </w:r>
          </w:p>
        </w:tc>
        <w:tc>
          <w:tcPr>
            <w:tcW w:w="98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64" w:type="dxa"/>
            <w:noWrap w:val="0"/>
            <w:vAlign w:val="center"/>
          </w:tcPr>
          <w:p>
            <w:pPr>
              <w:pStyle w:val="6"/>
            </w:pPr>
            <w:r>
              <w:t>作为一般规则，研究对照组的受试者应当接受一个已被证明有效的干预</w:t>
            </w:r>
          </w:p>
        </w:tc>
        <w:tc>
          <w:tcPr>
            <w:tcW w:w="98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64" w:type="dxa"/>
            <w:noWrap w:val="0"/>
            <w:vAlign w:val="center"/>
          </w:tcPr>
          <w:p>
            <w:pPr>
              <w:pStyle w:val="6"/>
            </w:pPr>
            <w:r>
              <w:t>一般规则的例外：对照采用任何弱于已被证明的最佳有效的干预措施、或安慰剂、或不予治疗</w:t>
            </w:r>
          </w:p>
          <w:p>
            <w:pPr>
              <w:pStyle w:val="6"/>
              <w:numPr>
                <w:ilvl w:val="0"/>
                <w:numId w:val="3"/>
              </w:numPr>
              <w:ind w:left="420" w:leftChars="0" w:hanging="420" w:firstLineChars="0"/>
            </w:pPr>
            <w:r>
              <w:t>研究的目标病症没有已证明有效的干预</w:t>
            </w:r>
          </w:p>
          <w:p>
            <w:pPr>
              <w:pStyle w:val="6"/>
              <w:numPr>
                <w:ilvl w:val="0"/>
                <w:numId w:val="4"/>
              </w:numPr>
              <w:ind w:left="420" w:leftChars="0" w:hanging="420" w:firstLineChars="0"/>
            </w:pPr>
            <w:r>
              <w:t>出于令人信服的、科学合理的方法学理由（例如，对已证明有效干预的临床反应有高度差异；症状多变，自发缓解率高；研究的病症有很高的安慰剂效应），且不会使受试者遭受任何额外的严重或不可逆的伤害</w:t>
            </w:r>
          </w:p>
        </w:tc>
        <w:tc>
          <w:tcPr>
            <w:tcW w:w="989" w:type="dxa"/>
            <w:noWrap w:val="0"/>
            <w:vAlign w:val="center"/>
          </w:tcPr>
          <w:p>
            <w:pPr>
              <w:pStyle w:val="6"/>
              <w:bidi w:val="0"/>
              <w:jc w:val="center"/>
              <w:rPr>
                <w:rFonts w:hint="default" w:ascii="Arial" w:hAnsi="Arial" w:cs="Arial"/>
              </w:rPr>
            </w:pPr>
          </w:p>
          <w:p>
            <w:pPr>
              <w:pStyle w:val="6"/>
              <w:bidi w:val="0"/>
              <w:jc w:val="center"/>
              <w:rPr>
                <w:rFonts w:hint="default" w:ascii="Arial" w:hAnsi="Arial" w:cs="Arial"/>
              </w:rPr>
            </w:pPr>
          </w:p>
          <w:p>
            <w:pPr>
              <w:pStyle w:val="6"/>
              <w:bidi w:val="0"/>
              <w:jc w:val="center"/>
              <w:rPr>
                <w:rFonts w:hint="default" w:ascii="Arial" w:hAnsi="Arial" w:cs="Arial"/>
              </w:rPr>
            </w:pPr>
          </w:p>
          <w:p>
            <w:pPr>
              <w:pStyle w:val="6"/>
              <w:bidi w:val="0"/>
              <w:jc w:val="center"/>
              <w:rPr>
                <w:rFonts w:hint="default" w:ascii="Arial" w:hAnsi="Arial" w:cs="Arial"/>
              </w:rPr>
            </w:pPr>
          </w:p>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eastAsia="宋体"/>
          <w:lang w:val="en-US" w:eastAsia="zh-CN"/>
        </w:rPr>
      </w:pPr>
    </w:p>
    <w:p>
      <w:pPr>
        <w:numPr>
          <w:ilvl w:val="0"/>
          <w:numId w:val="2"/>
        </w:numPr>
        <w:ind w:left="0" w:leftChars="0" w:firstLine="0" w:firstLineChars="0"/>
        <w:rPr>
          <w:rFonts w:hint="eastAsia"/>
          <w:lang w:val="en-US" w:eastAsia="zh-CN"/>
        </w:rPr>
      </w:pPr>
      <w:r>
        <w:rPr>
          <w:rFonts w:hint="eastAsia"/>
          <w:lang w:val="en-US" w:eastAsia="zh-CN"/>
        </w:rPr>
        <w:t>资源</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04" w:type="dxa"/>
            <w:noWrap w:val="0"/>
            <w:vAlign w:val="center"/>
          </w:tcPr>
          <w:p>
            <w:pPr>
              <w:pStyle w:val="6"/>
              <w:rPr>
                <w:rFonts w:hint="default" w:ascii="Calibri" w:hAnsi="Calibri" w:eastAsia="宋体" w:cs="Times New Roman"/>
                <w:sz w:val="21"/>
                <w:szCs w:val="22"/>
                <w:vertAlign w:val="baseline"/>
                <w:lang w:val="en-US" w:eastAsia="zh-CN"/>
              </w:rPr>
            </w:pPr>
            <w:r>
              <w:t>研究者在临床研究约定的期限内有足够的时间实施和完成临床研究</w:t>
            </w:r>
          </w:p>
        </w:tc>
        <w:tc>
          <w:tcPr>
            <w:tcW w:w="104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04" w:type="dxa"/>
            <w:noWrap w:val="0"/>
            <w:vAlign w:val="center"/>
          </w:tcPr>
          <w:p>
            <w:pPr>
              <w:pStyle w:val="6"/>
              <w:rPr>
                <w:rFonts w:hint="eastAsia" w:ascii="Calibri" w:hAnsi="Calibri" w:eastAsia="宋体" w:cs="Times New Roman"/>
                <w:sz w:val="21"/>
                <w:szCs w:val="22"/>
                <w:vertAlign w:val="baseline"/>
                <w:lang w:val="en-US" w:eastAsia="zh-CN"/>
              </w:rPr>
            </w:pPr>
            <w:r>
              <w:t>具有足够数量的合格研究人员</w:t>
            </w:r>
          </w:p>
        </w:tc>
        <w:tc>
          <w:tcPr>
            <w:tcW w:w="104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04" w:type="dxa"/>
            <w:noWrap w:val="0"/>
            <w:vAlign w:val="center"/>
          </w:tcPr>
          <w:p>
            <w:pPr>
              <w:pStyle w:val="6"/>
            </w:pPr>
            <w:r>
              <w:t>有程序确保所有研究人员熟悉研究方案，以及研究相关的工作和责任</w:t>
            </w:r>
          </w:p>
        </w:tc>
        <w:tc>
          <w:tcPr>
            <w:tcW w:w="104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04" w:type="dxa"/>
            <w:noWrap w:val="0"/>
            <w:vAlign w:val="center"/>
          </w:tcPr>
          <w:p>
            <w:pPr>
              <w:pStyle w:val="6"/>
            </w:pPr>
            <w:r>
              <w:t>能够接触到招募足够数量受试者所需的目标人群</w:t>
            </w:r>
          </w:p>
        </w:tc>
        <w:tc>
          <w:tcPr>
            <w:tcW w:w="104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04" w:type="dxa"/>
            <w:noWrap w:val="0"/>
            <w:vAlign w:val="center"/>
          </w:tcPr>
          <w:p>
            <w:pPr>
              <w:pStyle w:val="6"/>
              <w:numPr>
                <w:ilvl w:val="0"/>
                <w:numId w:val="0"/>
              </w:numPr>
              <w:ind w:leftChars="0"/>
            </w:pPr>
            <w:r>
              <w:t>能够为受试者提供研究所需的、可使用的医疗设备和设施，以及社会心理支持</w:t>
            </w:r>
          </w:p>
        </w:tc>
        <w:tc>
          <w:tcPr>
            <w:tcW w:w="104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sz w:val="24"/>
          <w:szCs w:val="24"/>
          <w:lang w:val="en-US" w:eastAsia="zh-CN"/>
        </w:rPr>
      </w:pPr>
    </w:p>
    <w:p>
      <w:pPr>
        <w:numPr>
          <w:ilvl w:val="0"/>
          <w:numId w:val="0"/>
        </w:numPr>
        <w:ind w:leftChars="0"/>
        <w:rPr>
          <w:rFonts w:hint="eastAsia" w:eastAsiaTheme="minorEastAsia"/>
          <w:sz w:val="24"/>
          <w:szCs w:val="24"/>
          <w:lang w:val="en-US" w:eastAsia="zh-CN"/>
        </w:rPr>
      </w:pPr>
      <w:r>
        <w:rPr>
          <w:rFonts w:hint="eastAsia"/>
          <w:sz w:val="24"/>
          <w:szCs w:val="24"/>
          <w:lang w:val="en-US" w:eastAsia="zh-CN"/>
        </w:rPr>
        <w:t>三、安全监查</w:t>
      </w:r>
    </w:p>
    <w:tbl>
      <w:tblPr>
        <w:tblStyle w:val="8"/>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680" w:hRule="atLeast"/>
        </w:trPr>
        <w:tc>
          <w:tcPr>
            <w:tcW w:w="8867" w:type="dxa"/>
            <w:tcBorders>
              <w:top w:val="nil"/>
              <w:left w:val="nil"/>
              <w:bottom w:val="nil"/>
              <w:right w:val="nil"/>
            </w:tcBorders>
            <w:shd w:val="clear" w:color="auto" w:fill="BEBEBE"/>
            <w:noWrap w:val="0"/>
            <w:vAlign w:val="center"/>
          </w:tcPr>
          <w:p>
            <w:r>
              <w:rPr>
                <w:rFonts w:hint="eastAsia"/>
                <w:sz w:val="20"/>
                <w:szCs w:val="20"/>
                <w:shd w:val="clear" w:color="auto" w:fill="auto"/>
                <w:lang w:val="en-US" w:eastAsia="zh-CN"/>
              </w:rPr>
              <w:t>标准</w:t>
            </w:r>
            <w:r>
              <w:rPr>
                <w:rFonts w:hint="eastAsia"/>
                <w:sz w:val="21"/>
                <w:szCs w:val="21"/>
                <w:shd w:val="clear" w:color="auto" w:fill="auto"/>
                <w:lang w:val="en-US" w:eastAsia="zh-CN"/>
              </w:rPr>
              <w:t>：在适当的情况下，研究有合适的数据安全监查计划。</w:t>
            </w:r>
          </w:p>
          <w:p>
            <w:pPr>
              <w:rPr>
                <w:rFonts w:hint="default"/>
                <w:sz w:val="21"/>
                <w:szCs w:val="21"/>
                <w:shd w:val="clear" w:color="auto" w:fill="auto"/>
                <w:vertAlign w:val="baseline"/>
                <w:lang w:val="en-US" w:eastAsia="zh-CN"/>
              </w:rPr>
            </w:pPr>
          </w:p>
        </w:tc>
      </w:tr>
    </w:tbl>
    <w:p>
      <w:pPr>
        <w:numPr>
          <w:ilvl w:val="0"/>
          <w:numId w:val="5"/>
        </w:numPr>
        <w:bidi w:val="0"/>
        <w:rPr>
          <w:rFonts w:hint="eastAsia" w:ascii="宋体" w:hAnsi="宋体" w:eastAsia="宋体" w:cs="宋体"/>
          <w:lang w:val="en-US" w:eastAsia="zh-CN"/>
        </w:rPr>
      </w:pPr>
      <w:r>
        <w:rPr>
          <w:rFonts w:hint="eastAsia" w:ascii="宋体" w:hAnsi="宋体" w:eastAsia="宋体" w:cs="宋体"/>
          <w:lang w:val="en-US" w:eastAsia="zh-CN"/>
        </w:rPr>
        <w:t>适当的情况</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53" w:type="dxa"/>
            <w:noWrap w:val="0"/>
            <w:vAlign w:val="center"/>
          </w:tcPr>
          <w:p>
            <w:pPr>
              <w:pStyle w:val="6"/>
              <w:bidi w:val="0"/>
              <w:rPr>
                <w:rFonts w:hint="eastAsia"/>
              </w:rPr>
            </w:pPr>
            <w:r>
              <w:t>受试者风险不大于最低风险，则不适用安全监查的这一审查要素：</w:t>
            </w:r>
            <w:r>
              <w:rPr/>
              <w:sym w:font="Wingdings 2" w:char="00A3"/>
            </w:r>
            <w:r>
              <w:rPr>
                <w:rFonts w:hint="eastAsia"/>
                <w:lang w:val="en-US" w:eastAsia="zh-CN"/>
              </w:rPr>
              <w:t xml:space="preserve"> </w:t>
            </w:r>
            <w:r>
              <w:t>不适用，</w:t>
            </w:r>
            <w:r>
              <w:rPr/>
              <w:sym w:font="Wingdings 2" w:char="00A3"/>
            </w:r>
            <w:r>
              <w:rPr>
                <w:rFonts w:hint="eastAsia"/>
                <w:lang w:val="en-US" w:eastAsia="zh-CN"/>
              </w:rPr>
              <w:t xml:space="preserve"> </w:t>
            </w:r>
            <w:r>
              <w:t>适用→</w:t>
            </w:r>
          </w:p>
        </w:tc>
      </w:tr>
    </w:tbl>
    <w:p>
      <w:pPr>
        <w:numPr>
          <w:ilvl w:val="0"/>
          <w:numId w:val="0"/>
        </w:numPr>
        <w:bidi w:val="0"/>
        <w:rPr>
          <w:rFonts w:hint="eastAsia" w:ascii="宋体" w:hAnsi="宋体" w:eastAsia="宋体" w:cs="宋体"/>
          <w:lang w:val="en-US" w:eastAsia="zh-CN"/>
        </w:rPr>
      </w:pPr>
    </w:p>
    <w:p>
      <w:pPr>
        <w:numPr>
          <w:ilvl w:val="0"/>
          <w:numId w:val="0"/>
        </w:numPr>
        <w:bidi w:val="0"/>
        <w:rPr>
          <w:rFonts w:hint="default" w:ascii="宋体" w:hAnsi="宋体" w:eastAsia="宋体" w:cs="宋体"/>
          <w:lang w:val="en-US" w:eastAsia="zh-CN"/>
        </w:rPr>
      </w:pPr>
      <w:r>
        <w:rPr>
          <w:rFonts w:hint="eastAsia" w:ascii="宋体" w:hAnsi="宋体" w:eastAsia="宋体" w:cs="宋体"/>
          <w:lang w:val="en-US" w:eastAsia="zh-CN"/>
        </w:rPr>
        <w:t>2.合适的数据安全监查规定</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9"/>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rPr>
                <w:rFonts w:hint="default" w:ascii="Calibri" w:hAnsi="Calibri" w:eastAsia="宋体" w:cs="Times New Roman"/>
                <w:sz w:val="21"/>
                <w:szCs w:val="22"/>
                <w:vertAlign w:val="baseline"/>
                <w:lang w:val="en-US" w:eastAsia="zh-CN"/>
              </w:rPr>
            </w:pPr>
            <w:r>
              <w:t>基于研究干预和程序的特定风险，确认方案规定收集的安全性信息、以及收集的频率是否合适。例如，对安全性评价有重要意义的不良事件和实验室异常值</w:t>
            </w:r>
          </w:p>
        </w:tc>
        <w:tc>
          <w:tcPr>
            <w:tcW w:w="1064"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rPr>
                <w:rFonts w:hint="default" w:ascii="Calibri" w:hAnsi="Calibri" w:eastAsia="宋体" w:cs="Times New Roman"/>
                <w:sz w:val="21"/>
                <w:szCs w:val="22"/>
                <w:vertAlign w:val="baseline"/>
                <w:lang w:val="en-US" w:eastAsia="zh-CN"/>
              </w:rPr>
            </w:pPr>
            <w:r>
              <w:t>基于受试者的风险程度，审查申办者评估累计安全性数据的频率或周期，以及分析和解释的程序是否合适</w:t>
            </w:r>
          </w:p>
        </w:tc>
        <w:tc>
          <w:tcPr>
            <w:tcW w:w="1064"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rPr>
                <w:rFonts w:hint="default" w:ascii="Calibri" w:hAnsi="Calibri" w:eastAsia="宋体" w:cs="Times New Roman"/>
                <w:sz w:val="21"/>
                <w:szCs w:val="22"/>
                <w:vertAlign w:val="baseline"/>
                <w:lang w:val="en-US" w:eastAsia="zh-CN"/>
              </w:rPr>
            </w:pPr>
            <w:r>
              <w:t>审查数据安全监查结果报告的程序是否合适。例如，SUSAR报告</w:t>
            </w:r>
          </w:p>
        </w:tc>
        <w:tc>
          <w:tcPr>
            <w:tcW w:w="106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rPr>
                <w:rFonts w:hint="default" w:ascii="Calibri" w:hAnsi="Calibri" w:eastAsia="宋体" w:cs="Times New Roman"/>
                <w:sz w:val="21"/>
                <w:szCs w:val="22"/>
                <w:vertAlign w:val="baseline"/>
                <w:lang w:val="en-US" w:eastAsia="zh-CN"/>
              </w:rPr>
            </w:pPr>
            <w:r>
              <w:t>基于研究预期的风险，审查对特定的事件或终点所计划采取的措施是否合适。例如，对症用药的规定，受试者提前退出研究的规定，终止或者暂停研究的规定</w:t>
            </w:r>
          </w:p>
        </w:tc>
        <w:tc>
          <w:tcPr>
            <w:tcW w:w="106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pStyle w:val="6"/>
        <w:numPr>
          <w:ilvl w:val="0"/>
          <w:numId w:val="0"/>
        </w:numPr>
        <w:ind w:leftChars="0"/>
      </w:pPr>
    </w:p>
    <w:p>
      <w:pPr>
        <w:pStyle w:val="6"/>
        <w:numPr>
          <w:ilvl w:val="0"/>
          <w:numId w:val="0"/>
        </w:numPr>
        <w:ind w:leftChars="0"/>
      </w:pPr>
      <w:r>
        <w:rPr>
          <w:rFonts w:hint="eastAsia" w:ascii="宋体" w:hAnsi="宋体" w:eastAsia="宋体" w:cs="宋体"/>
          <w:lang w:val="en-US" w:eastAsia="zh-CN"/>
        </w:rPr>
        <w:t>3.</w:t>
      </w:r>
      <w:r>
        <w:t>数据监查委员会</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rPr>
                <w:rFonts w:hint="default" w:ascii="Calibri" w:hAnsi="Calibri" w:eastAsia="宋体" w:cs="Times New Roman"/>
                <w:sz w:val="21"/>
                <w:szCs w:val="22"/>
                <w:vertAlign w:val="baseline"/>
                <w:lang w:val="en-US" w:eastAsia="zh-CN"/>
              </w:rPr>
            </w:pPr>
            <w:r>
              <w:t>对于旨在挽救生命、预防严重疾病进展或降低重大不良健康结果风险的研究，以及需要期中分析以确保受试者安全的研究，可能需要设立独立的数据监查委员会</w:t>
            </w:r>
          </w:p>
        </w:tc>
        <w:tc>
          <w:tcPr>
            <w:tcW w:w="1034"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pStyle w:val="6"/>
        <w:numPr>
          <w:ilvl w:val="0"/>
          <w:numId w:val="0"/>
        </w:numPr>
        <w:ind w:leftChars="0"/>
      </w:pPr>
    </w:p>
    <w:p>
      <w:pPr>
        <w:pStyle w:val="6"/>
      </w:pPr>
      <w:r>
        <w:rPr>
          <w:rFonts w:hint="eastAsia" w:ascii="宋体" w:hAnsi="宋体" w:eastAsia="宋体" w:cs="宋体"/>
          <w:lang w:val="en-US" w:eastAsia="zh-CN"/>
        </w:rPr>
        <w:t>4.</w:t>
      </w:r>
      <w:r>
        <w:t>年度／定期审查频率</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325" w:type="dxa"/>
            <w:noWrap w:val="0"/>
            <w:vAlign w:val="center"/>
          </w:tcPr>
          <w:p>
            <w:pPr>
              <w:pStyle w:val="6"/>
              <w:rPr>
                <w:rFonts w:hint="default" w:ascii="Calibri" w:hAnsi="Calibri" w:eastAsia="宋体" w:cs="Times New Roman"/>
                <w:sz w:val="21"/>
                <w:szCs w:val="22"/>
                <w:vertAlign w:val="baseline"/>
                <w:lang w:val="en-US" w:eastAsia="zh-CN"/>
              </w:rPr>
            </w:pPr>
            <w:r>
              <w:t>根据受试者风险的程度，确定年度／定期审查的频率，至少每年1次</w:t>
            </w:r>
          </w:p>
        </w:tc>
        <w:tc>
          <w:tcPr>
            <w:tcW w:w="1528" w:type="dxa"/>
            <w:noWrap w:val="0"/>
            <w:vAlign w:val="center"/>
          </w:tcPr>
          <w:p>
            <w:pPr>
              <w:pStyle w:val="6"/>
              <w:ind w:firstLine="210" w:firstLineChars="100"/>
              <w:rPr>
                <w:rFonts w:hint="eastAsia"/>
              </w:rPr>
            </w:pPr>
            <w:r>
              <w:t>＿</w:t>
            </w:r>
            <w:r>
              <w:rPr>
                <w:rFonts w:hint="eastAsia"/>
                <w:lang w:val="en-US" w:eastAsia="zh-CN"/>
              </w:rPr>
              <w:t xml:space="preserve"> </w:t>
            </w:r>
            <w:r>
              <w:t>个月</w:t>
            </w:r>
          </w:p>
        </w:tc>
      </w:tr>
    </w:tbl>
    <w:p>
      <w:pPr>
        <w:pStyle w:val="6"/>
        <w:numPr>
          <w:ilvl w:val="0"/>
          <w:numId w:val="0"/>
        </w:numPr>
        <w:ind w:leftChars="0"/>
        <w:rPr>
          <w:rFonts w:hint="eastAsia"/>
          <w:lang w:val="en-US" w:eastAsia="zh-CN"/>
        </w:rPr>
      </w:pPr>
    </w:p>
    <w:p>
      <w:pPr>
        <w:numPr>
          <w:ilvl w:val="0"/>
          <w:numId w:val="0"/>
        </w:numPr>
        <w:ind w:leftChars="0"/>
        <w:rPr>
          <w:rFonts w:hint="default"/>
          <w:sz w:val="24"/>
          <w:szCs w:val="24"/>
          <w:lang w:val="en-US" w:eastAsia="zh-CN"/>
        </w:rPr>
      </w:pPr>
      <w:r>
        <w:rPr>
          <w:rFonts w:hint="eastAsia"/>
          <w:sz w:val="24"/>
          <w:szCs w:val="24"/>
          <w:lang w:val="en-US" w:eastAsia="zh-CN"/>
        </w:rPr>
        <w:t>四、受试者的选择</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919" w:hRule="atLeast"/>
        </w:trPr>
        <w:tc>
          <w:tcPr>
            <w:tcW w:w="8920" w:type="dxa"/>
            <w:tcBorders>
              <w:top w:val="nil"/>
              <w:left w:val="nil"/>
              <w:bottom w:val="nil"/>
              <w:right w:val="nil"/>
            </w:tcBorders>
            <w:shd w:val="clear" w:color="auto" w:fill="BEBEBE"/>
            <w:noWrap w:val="0"/>
            <w:vAlign w:val="center"/>
          </w:tcPr>
          <w:p>
            <w:pPr>
              <w:rPr>
                <w:rFonts w:hint="default"/>
                <w:szCs w:val="21"/>
                <w:shd w:val="clear" w:color="auto" w:fill="auto"/>
                <w:vertAlign w:val="baseline"/>
                <w:lang w:val="en-US" w:eastAsia="zh-CN"/>
              </w:rPr>
            </w:pPr>
            <w:r>
              <w:rPr>
                <w:rFonts w:hint="eastAsia"/>
                <w:color w:val="auto"/>
                <w:sz w:val="20"/>
                <w:szCs w:val="20"/>
                <w:shd w:val="clear" w:color="auto" w:fill="auto"/>
                <w:lang w:val="en-US" w:eastAsia="zh-CN"/>
              </w:rPr>
              <w:t>标准</w:t>
            </w:r>
            <w:r>
              <w:rPr>
                <w:rFonts w:hint="eastAsia"/>
                <w:color w:val="auto"/>
                <w:sz w:val="21"/>
                <w:szCs w:val="21"/>
                <w:shd w:val="clear" w:color="auto" w:fill="auto"/>
                <w:lang w:val="en-US" w:eastAsia="zh-CN"/>
              </w:rPr>
              <w:t>：受试者的风险最小化，确认受试者的风险与其参加研究的预期获益（如有）以及可以合理预期产生的知识的重要性相比是合理的</w:t>
            </w:r>
          </w:p>
        </w:tc>
      </w:tr>
    </w:tbl>
    <w:p>
      <w:pPr>
        <w:pStyle w:val="6"/>
        <w:rPr>
          <w:rFonts w:hint="eastAsia" w:ascii="宋体" w:hAnsi="宋体" w:eastAsia="宋体" w:cs="宋体"/>
          <w:lang w:val="en-US" w:eastAsia="zh-CN"/>
        </w:rPr>
      </w:pPr>
      <w:r>
        <w:rPr>
          <w:rFonts w:hint="eastAsia" w:ascii="宋体" w:hAnsi="宋体" w:eastAsia="宋体" w:cs="宋体"/>
          <w:lang w:val="en-US" w:eastAsia="zh-CN"/>
        </w:rPr>
        <w:t>1.</w:t>
      </w:r>
      <w:r>
        <w:t>公平的选择受试人群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rPr>
                <w:rFonts w:hint="default" w:ascii="Calibri" w:hAnsi="Calibri" w:eastAsia="宋体" w:cs="Times New Roman"/>
                <w:sz w:val="21"/>
                <w:szCs w:val="22"/>
                <w:vertAlign w:val="baseline"/>
                <w:lang w:val="en-US" w:eastAsia="zh-CN"/>
              </w:rPr>
            </w:pPr>
            <w:r>
              <w:t>基于对研究目的，进行研究的环境，涉及弱势人群研究的特殊问题，选择标准和招募程序的考虑，审查并确认受试者的选择是公平的</w:t>
            </w:r>
          </w:p>
        </w:tc>
        <w:tc>
          <w:tcPr>
            <w:tcW w:w="101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pStyle w:val="6"/>
        <w:numPr>
          <w:ilvl w:val="0"/>
          <w:numId w:val="0"/>
        </w:numPr>
        <w:ind w:leftChars="0"/>
        <w:rPr>
          <w:rFonts w:hint="eastAsia"/>
          <w:lang w:val="en-US" w:eastAsia="zh-CN"/>
        </w:rPr>
      </w:pPr>
    </w:p>
    <w:p>
      <w:pPr>
        <w:pStyle w:val="6"/>
      </w:pPr>
      <w:r>
        <w:rPr>
          <w:rFonts w:hint="eastAsia" w:ascii="宋体" w:hAnsi="宋体" w:eastAsia="宋体" w:cs="宋体"/>
          <w:lang w:val="en-US" w:eastAsia="zh-CN"/>
        </w:rPr>
        <w:t>2.</w:t>
      </w:r>
      <w:r>
        <w:t>招募程序：避免胁迫或不正当影响</w:t>
      </w:r>
    </w:p>
    <w:p>
      <w:pPr>
        <w:pStyle w:val="6"/>
        <w:numPr>
          <w:ilvl w:val="0"/>
          <w:numId w:val="0"/>
        </w:numPr>
        <w:ind w:leftChars="0"/>
        <w:rPr>
          <w:rFonts w:hint="default" w:ascii="宋体" w:hAnsi="宋体" w:eastAsia="宋体" w:cs="宋体"/>
          <w:lang w:val="en-US" w:eastAsia="zh-CN"/>
        </w:rPr>
      </w:pPr>
      <w:r>
        <w:rPr>
          <w:rFonts w:hint="eastAsia" w:ascii="宋体" w:hAnsi="宋体" w:eastAsia="宋体" w:cs="宋体"/>
          <w:lang w:val="en-US" w:eastAsia="zh-CN"/>
        </w:rPr>
        <w:t xml:space="preserve">2.1 </w:t>
      </w:r>
      <w:r>
        <w:t>招募者的身份</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19" w:type="dxa"/>
            <w:noWrap w:val="0"/>
            <w:vAlign w:val="center"/>
          </w:tcPr>
          <w:p>
            <w:pPr>
              <w:pStyle w:val="6"/>
              <w:rPr>
                <w:rFonts w:hint="default" w:ascii="Calibri" w:hAnsi="Calibri" w:eastAsia="宋体" w:cs="Times New Roman"/>
                <w:sz w:val="21"/>
                <w:szCs w:val="22"/>
                <w:vertAlign w:val="baseline"/>
                <w:lang w:val="en-US" w:eastAsia="zh-CN"/>
              </w:rPr>
            </w:pPr>
            <w:r>
              <w:t>招募者的身份是否会对受试者造成不正当的影响，例如，患者与临床医生之间存在依赖关系</w:t>
            </w:r>
          </w:p>
        </w:tc>
        <w:tc>
          <w:tcPr>
            <w:tcW w:w="1034"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eastAsia="宋体"/>
          <w:lang w:val="en-US" w:eastAsia="zh-CN"/>
        </w:rPr>
      </w:pPr>
    </w:p>
    <w:p>
      <w:pPr>
        <w:numPr>
          <w:ilvl w:val="0"/>
          <w:numId w:val="0"/>
        </w:numPr>
        <w:ind w:leftChars="0"/>
        <w:rPr>
          <w:rFonts w:hint="eastAsia"/>
          <w:lang w:val="en-US" w:eastAsia="zh-CN"/>
        </w:rPr>
      </w:pPr>
      <w:r>
        <w:rPr>
          <w:rFonts w:hint="eastAsia" w:ascii="宋体" w:hAnsi="宋体" w:eastAsia="宋体" w:cs="宋体"/>
          <w:lang w:val="en-US" w:eastAsia="zh-CN"/>
        </w:rPr>
        <w:t>2.2</w:t>
      </w:r>
      <w:r>
        <w:rPr>
          <w:rFonts w:hint="eastAsia"/>
          <w:lang w:val="en-US" w:eastAsia="zh-CN"/>
        </w:rPr>
        <w:t xml:space="preserve"> </w:t>
      </w:r>
      <w:r>
        <w:t>招募材料不应当含有以下信息：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34" w:type="dxa"/>
            <w:noWrap w:val="0"/>
            <w:vAlign w:val="center"/>
          </w:tcPr>
          <w:p>
            <w:pPr>
              <w:pStyle w:val="6"/>
              <w:rPr>
                <w:rFonts w:hint="default" w:ascii="Calibri" w:hAnsi="Calibri" w:eastAsia="宋体" w:cs="Times New Roman"/>
                <w:sz w:val="21"/>
                <w:szCs w:val="22"/>
                <w:vertAlign w:val="baseline"/>
                <w:lang w:val="en-US" w:eastAsia="zh-CN"/>
              </w:rPr>
            </w:pPr>
            <w:r>
              <w:t>宣称或者暗示超出知情同意文件和方案描述之外的有利的结果或者其他的获益</w:t>
            </w:r>
          </w:p>
        </w:tc>
        <w:tc>
          <w:tcPr>
            <w:tcW w:w="101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34" w:type="dxa"/>
            <w:noWrap w:val="0"/>
            <w:vAlign w:val="center"/>
          </w:tcPr>
          <w:p>
            <w:pPr>
              <w:pStyle w:val="6"/>
              <w:rPr>
                <w:rFonts w:hint="eastAsia" w:ascii="Calibri" w:hAnsi="Calibri" w:eastAsia="宋体" w:cs="Times New Roman"/>
                <w:sz w:val="21"/>
                <w:szCs w:val="22"/>
                <w:vertAlign w:val="baseline"/>
                <w:lang w:val="en-US" w:eastAsia="zh-CN"/>
              </w:rPr>
            </w:pPr>
            <w:r>
              <w:t>使用“新治疗”、“新药物”或“新药”术语，而没有解释测试物是试验性的</w:t>
            </w:r>
          </w:p>
        </w:tc>
        <w:tc>
          <w:tcPr>
            <w:tcW w:w="101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要求受试者放弃其合法权益</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豁免研究者、申办者或研究机构的过失责任</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以醒目字体方式强调补偿金额</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将受试者参与研究不需要花费金钱的情况表述为“免费治疗”</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ascii="宋体" w:hAnsi="宋体" w:eastAsia="宋体" w:cs="宋体"/>
          <w:lang w:val="en-US" w:eastAsia="zh-CN"/>
        </w:rPr>
        <w:t>2.3</w:t>
      </w:r>
      <w:r>
        <w:t xml:space="preserve"> 如果存在旨在加快招募速度的招募费用，伦理审查应当确认：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19" w:type="dxa"/>
            <w:noWrap w:val="0"/>
            <w:vAlign w:val="center"/>
          </w:tcPr>
          <w:p>
            <w:pPr>
              <w:pStyle w:val="6"/>
              <w:rPr>
                <w:rFonts w:hint="default" w:ascii="Calibri" w:hAnsi="Calibri" w:eastAsia="宋体" w:cs="Times New Roman"/>
                <w:sz w:val="21"/>
                <w:szCs w:val="22"/>
                <w:vertAlign w:val="baseline"/>
                <w:lang w:val="en-US" w:eastAsia="zh-CN"/>
              </w:rPr>
            </w:pPr>
            <w:r>
              <w:t>给受试者提供了充分的时间和机会以考虑是否参加研究</w:t>
            </w:r>
          </w:p>
        </w:tc>
        <w:tc>
          <w:tcPr>
            <w:tcW w:w="1034"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19" w:type="dxa"/>
            <w:noWrap w:val="0"/>
            <w:vAlign w:val="center"/>
          </w:tcPr>
          <w:p>
            <w:pPr>
              <w:pStyle w:val="6"/>
              <w:rPr>
                <w:rFonts w:hint="eastAsia" w:ascii="Calibri" w:hAnsi="Calibri" w:eastAsia="宋体" w:cs="Times New Roman"/>
                <w:sz w:val="21"/>
                <w:szCs w:val="22"/>
                <w:vertAlign w:val="baseline"/>
                <w:lang w:val="en-US" w:eastAsia="zh-CN"/>
              </w:rPr>
            </w:pPr>
            <w:r>
              <w:t>没有增加对研究者或受试者施加胁迫或不正当影响的可能性</w:t>
            </w:r>
          </w:p>
        </w:tc>
        <w:tc>
          <w:tcPr>
            <w:tcW w:w="1034"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3.补偿</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34" w:type="dxa"/>
            <w:noWrap w:val="0"/>
            <w:vAlign w:val="center"/>
          </w:tcPr>
          <w:p>
            <w:pPr>
              <w:pStyle w:val="6"/>
              <w:rPr>
                <w:rFonts w:hint="default" w:ascii="Calibri" w:hAnsi="Calibri" w:eastAsia="宋体" w:cs="Times New Roman"/>
                <w:sz w:val="21"/>
                <w:szCs w:val="22"/>
                <w:vertAlign w:val="baseline"/>
                <w:lang w:val="en-US" w:eastAsia="zh-CN"/>
              </w:rPr>
            </w:pPr>
            <w:r>
              <w:t>补偿的数额与受试者参与研究所造成的不便和花费的时间相关</w:t>
            </w:r>
          </w:p>
        </w:tc>
        <w:tc>
          <w:tcPr>
            <w:tcW w:w="101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34" w:type="dxa"/>
            <w:noWrap w:val="0"/>
            <w:vAlign w:val="center"/>
          </w:tcPr>
          <w:p>
            <w:pPr>
              <w:pStyle w:val="6"/>
              <w:rPr>
                <w:rFonts w:hint="eastAsia" w:ascii="Calibri" w:hAnsi="Calibri" w:eastAsia="宋体" w:cs="Times New Roman"/>
                <w:sz w:val="21"/>
                <w:szCs w:val="22"/>
                <w:vertAlign w:val="baseline"/>
                <w:lang w:val="en-US" w:eastAsia="zh-CN"/>
              </w:rPr>
            </w:pPr>
            <w:r>
              <w:t>补偿的水平不与受试者风险程度相关联</w:t>
            </w:r>
          </w:p>
        </w:tc>
        <w:tc>
          <w:tcPr>
            <w:tcW w:w="101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根据研究所在地区的文化与人群传统，以及社会经济背景，确认补偿的数额是适当的，普通受试者同意参与研究不是基于所给予的补偿，而是他们自己更好的判断</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补偿的方式（货币，非货币）是合适的</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支付计划是按照受试者实际完成研究的比例支付，而不是以完成全部研究为条件</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完成研究的奖金数额在合理范围</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34" w:type="dxa"/>
            <w:noWrap w:val="0"/>
            <w:vAlign w:val="center"/>
          </w:tcPr>
          <w:p>
            <w:pPr>
              <w:pStyle w:val="6"/>
            </w:pPr>
            <w:r>
              <w:t>知情同意文件中列出了补偿的所有信息，包括补偿金额和按比例支付的计划</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numPr>
          <w:ilvl w:val="0"/>
          <w:numId w:val="2"/>
        </w:numPr>
        <w:ind w:left="0" w:leftChars="0" w:firstLine="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费用</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04" w:type="dxa"/>
            <w:noWrap w:val="0"/>
            <w:vAlign w:val="center"/>
          </w:tcPr>
          <w:p>
            <w:pPr>
              <w:pStyle w:val="6"/>
              <w:rPr>
                <w:rFonts w:hint="default" w:ascii="Calibri" w:hAnsi="Calibri" w:eastAsia="宋体" w:cs="Times New Roman"/>
                <w:sz w:val="21"/>
                <w:szCs w:val="22"/>
                <w:vertAlign w:val="baseline"/>
                <w:lang w:val="en-US" w:eastAsia="zh-CN"/>
              </w:rPr>
            </w:pPr>
            <w:r>
              <w:t>受试者参加研究的直接费用（如交通费），所给予的报销或津贴是适当的</w:t>
            </w:r>
          </w:p>
        </w:tc>
        <w:tc>
          <w:tcPr>
            <w:tcW w:w="104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04" w:type="dxa"/>
            <w:noWrap w:val="0"/>
            <w:vAlign w:val="center"/>
          </w:tcPr>
          <w:p>
            <w:pPr>
              <w:pStyle w:val="6"/>
              <w:rPr>
                <w:rFonts w:hint="eastAsia" w:ascii="Calibri" w:hAnsi="Calibri" w:eastAsia="宋体" w:cs="Times New Roman"/>
                <w:sz w:val="21"/>
                <w:szCs w:val="22"/>
                <w:vertAlign w:val="baseline"/>
                <w:lang w:val="en-US" w:eastAsia="zh-CN"/>
              </w:rPr>
            </w:pPr>
            <w:r>
              <w:t>临床试验的费用（如试验药物、检验检查的费用），支付是合规的</w:t>
            </w:r>
          </w:p>
        </w:tc>
        <w:tc>
          <w:tcPr>
            <w:tcW w:w="1049" w:type="dxa"/>
            <w:noWrap w:val="0"/>
            <w:vAlign w:val="center"/>
          </w:tcPr>
          <w:p>
            <w:pPr>
              <w:pStyle w:val="6"/>
              <w:bidi w:val="0"/>
              <w:jc w:val="cente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numPr>
          <w:ilvl w:val="0"/>
          <w:numId w:val="0"/>
        </w:numPr>
        <w:ind w:leftChars="0"/>
        <w:rPr>
          <w:rFonts w:hint="default" w:ascii="宋体" w:hAnsi="宋体" w:eastAsia="宋体" w:cs="宋体"/>
          <w:sz w:val="21"/>
          <w:szCs w:val="21"/>
          <w:lang w:val="en-US" w:eastAsia="zh-CN"/>
        </w:rPr>
      </w:pPr>
    </w:p>
    <w:p>
      <w:pPr>
        <w:numPr>
          <w:ilvl w:val="0"/>
          <w:numId w:val="0"/>
        </w:numPr>
        <w:ind w:leftChars="0"/>
        <w:rPr>
          <w:rFonts w:hint="default"/>
          <w:sz w:val="24"/>
          <w:szCs w:val="24"/>
          <w:lang w:val="en-US" w:eastAsia="zh-CN"/>
        </w:rPr>
      </w:pPr>
      <w:r>
        <w:rPr>
          <w:rFonts w:hint="eastAsia"/>
          <w:sz w:val="24"/>
          <w:szCs w:val="24"/>
          <w:lang w:val="en-US" w:eastAsia="zh-CN"/>
        </w:rPr>
        <w:t>五、知情同意</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919" w:hRule="atLeast"/>
        </w:trPr>
        <w:tc>
          <w:tcPr>
            <w:tcW w:w="8920" w:type="dxa"/>
            <w:tcBorders>
              <w:top w:val="nil"/>
              <w:left w:val="nil"/>
              <w:bottom w:val="nil"/>
              <w:right w:val="nil"/>
            </w:tcBorders>
            <w:shd w:val="clear" w:color="auto" w:fill="BEBEBE"/>
            <w:noWrap w:val="0"/>
            <w:vAlign w:val="center"/>
          </w:tcPr>
          <w:p>
            <w:pPr>
              <w:pStyle w:val="6"/>
              <w:rPr>
                <w:rFonts w:hint="default"/>
                <w:szCs w:val="21"/>
                <w:shd w:val="clear" w:color="auto" w:fill="auto"/>
                <w:vertAlign w:val="baseline"/>
                <w:lang w:val="en-US" w:eastAsia="zh-CN"/>
              </w:rPr>
            </w:pPr>
            <w:r>
              <w:rPr>
                <w:rFonts w:hint="eastAsia"/>
                <w:lang w:eastAsia="zh-CN"/>
              </w:rPr>
              <w:t>标准：</w:t>
            </w:r>
            <w:r>
              <w:t>将征求每位潜在受试者或其监护人的知情同意，确认获取知情同意过程的计划安排和知情同意文件提供的信息符合规范要求，并有适当的文件证明知情同意。</w:t>
            </w:r>
          </w:p>
        </w:tc>
      </w:tr>
    </w:tbl>
    <w:p>
      <w:pPr>
        <w:pStyle w:val="6"/>
        <w:rPr>
          <w:rFonts w:hint="eastAsia" w:ascii="宋体" w:hAnsi="宋体" w:eastAsia="宋体" w:cs="宋体"/>
          <w:lang w:val="en-US" w:eastAsia="zh-CN"/>
        </w:rPr>
      </w:pPr>
      <w:r>
        <w:rPr>
          <w:rFonts w:hint="eastAsia" w:ascii="宋体" w:hAnsi="宋体" w:eastAsia="宋体" w:cs="宋体"/>
          <w:lang w:val="en-US" w:eastAsia="zh-CN"/>
        </w:rPr>
        <w:t>1.</w:t>
      </w:r>
      <w:r>
        <w:t>获取知情同意过程的计划安排</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rPr>
                <w:rFonts w:hint="default" w:ascii="Calibri" w:hAnsi="Calibri" w:eastAsia="宋体" w:cs="Times New Roman"/>
                <w:sz w:val="21"/>
                <w:szCs w:val="22"/>
                <w:vertAlign w:val="baseline"/>
                <w:lang w:val="en-US" w:eastAsia="zh-CN"/>
              </w:rPr>
            </w:pPr>
            <w:r>
              <w:t>研究者将获得受试者或其监护人的具有法律效力的知情同意</w:t>
            </w:r>
          </w:p>
        </w:tc>
        <w:tc>
          <w:tcPr>
            <w:tcW w:w="1049"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rPr>
                <w:rFonts w:hint="eastAsia" w:eastAsia="宋体"/>
                <w:lang w:val="en-US" w:eastAsia="zh-CN"/>
              </w:rPr>
            </w:pPr>
            <w:r>
              <w:t>只有向潜在受试者或其监护人提供了充分的机会考虑是否参与的情况下，才征求其</w:t>
            </w:r>
            <w:r>
              <w:rPr>
                <w:rFonts w:hint="eastAsia"/>
                <w:lang w:val="en-US" w:eastAsia="zh-CN"/>
              </w:rPr>
              <w:t>同意</w:t>
            </w:r>
          </w:p>
        </w:tc>
        <w:tc>
          <w:tcPr>
            <w:tcW w:w="104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只有在将胁迫或不当影响的可能性减少到最低的情况下，才征求其同意</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提供给受试者或其监护人的信息应当使用其能够理解的语言</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知情同意过程不包含任何使受试者或其监护人放弃或似乎放弃其合法权利的语言</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知情同意过程没有豁免或似乎豁免研究者／机构、申办者或其代理人的过失责任</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numPr>
          <w:ilvl w:val="0"/>
          <w:numId w:val="0"/>
        </w:numPr>
        <w:ind w:leftChars="0"/>
      </w:pPr>
      <w:r>
        <w:rPr>
          <w:rFonts w:hint="eastAsia" w:ascii="宋体" w:hAnsi="宋体" w:eastAsia="宋体" w:cs="宋体"/>
          <w:sz w:val="21"/>
          <w:szCs w:val="21"/>
          <w:lang w:val="en-US" w:eastAsia="zh-CN"/>
        </w:rPr>
        <w:t>2.</w:t>
      </w:r>
      <w:r>
        <w:t>知情同意文件提供的信息</w:t>
      </w:r>
    </w:p>
    <w:p>
      <w:pPr>
        <w:numPr>
          <w:ilvl w:val="0"/>
          <w:numId w:val="0"/>
        </w:numPr>
        <w:ind w:leftChars="0"/>
      </w:pPr>
      <w:r>
        <w:rPr>
          <w:rFonts w:hint="eastAsia" w:ascii="宋体" w:hAnsi="宋体" w:eastAsia="宋体" w:cs="宋体"/>
          <w:lang w:val="en-US" w:eastAsia="zh-CN"/>
        </w:rPr>
        <w:t>2.1</w:t>
      </w:r>
      <w:r>
        <w:t>基本信息：知情同意文件应当提供的基本信息：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rPr>
                <w:rFonts w:hint="default" w:ascii="Calibri" w:hAnsi="Calibri" w:eastAsia="宋体" w:cs="Times New Roman"/>
                <w:sz w:val="21"/>
                <w:szCs w:val="22"/>
                <w:vertAlign w:val="baseline"/>
                <w:lang w:val="en-US" w:eastAsia="zh-CN"/>
              </w:rPr>
            </w:pPr>
            <w:r>
              <w:t>说明试验的研究性质</w:t>
            </w:r>
          </w:p>
        </w:tc>
        <w:tc>
          <w:tcPr>
            <w:tcW w:w="1034" w:type="dxa"/>
            <w:noWrap w:val="0"/>
            <w:vAlign w:val="center"/>
          </w:tcPr>
          <w:p>
            <w:pPr>
              <w:pStyle w:val="6"/>
              <w:bidi w:val="0"/>
              <w:jc w:val="center"/>
              <w:rPr>
                <w:rFonts w:hint="eastAsia"/>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rPr>
                <w:rFonts w:hint="eastAsia" w:eastAsia="宋体"/>
                <w:lang w:val="en-US" w:eastAsia="zh-CN"/>
              </w:rPr>
            </w:pPr>
            <w:r>
              <w:t>解释研究目的</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受试者参与研究的预期持续时间</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说明受试者需要遵循的程序</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说明其中所涉及的任何试验性程序</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说明对受试者任何合理可预期的风险或不适</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说明从研究中可以合理预期的对受试者或他人的任何获益，以及不能获益的可能性</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说明对受试者有益的、可选择的替代程序或治疗方法（如有），及其重要的潜在获益和风险</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说明维护可识别受试者身份记录的机密性的程度（如有）</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说明受试者需要获得研究相关问题的解答时，可以联系谁</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说明受试者需要获得受试者权益相关问题的解答时，可以联系谁</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说明受试者发生研究相关损害时，可以联系谁</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研究小组的联系方式，以讨论他们所关注的问题，获取信息，提出诉求</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独立于研究小组之外的伦理委员会联系方式，以处理诉求和意见</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说明受试者参与研究是自愿的</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声明如果潜在受试者拒绝参与研究，将不会受到处罚，不会损失其有权享有的利益</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声明受试者在任何时候退出试验，不会受到处罚或损失其有权享有的利益</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ascii="宋体" w:hAnsi="宋体" w:eastAsia="宋体" w:cs="宋体"/>
          <w:lang w:val="en-US" w:eastAsia="zh-CN"/>
        </w:rPr>
        <w:t xml:space="preserve">2.2 </w:t>
      </w:r>
      <w:r>
        <w:rPr>
          <w:rFonts w:hint="eastAsia"/>
          <w:lang w:val="en-US" w:eastAsia="zh-CN"/>
        </w:rPr>
        <w:t>附加信息：</w:t>
      </w:r>
      <w:r>
        <w:t>政府监督管理部门监管的研究，知情同意文件应当提供的附加信息：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说明政府监督管理部门可能对受试者的原始医学记录进行检查</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numPr>
          <w:ilvl w:val="0"/>
          <w:numId w:val="0"/>
        </w:numPr>
        <w:ind w:leftChars="0"/>
      </w:pPr>
      <w:r>
        <w:rPr>
          <w:rFonts w:hint="eastAsia" w:ascii="宋体" w:hAnsi="宋体" w:eastAsia="宋体" w:cs="宋体"/>
          <w:lang w:val="en-US" w:eastAsia="zh-CN"/>
        </w:rPr>
        <w:t>2.3</w:t>
      </w:r>
      <w:r>
        <w:t>附加信息：大于最低风险的研究，知情同意文件应当提供的附加信息：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说明如果发生损害，是否可以获得补偿。如果可以获得补偿，补偿将包括什么内容，或者可以从哪里获得进一步的信息</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04" w:type="dxa"/>
            <w:noWrap w:val="0"/>
            <w:vAlign w:val="center"/>
          </w:tcPr>
          <w:p>
            <w:pPr>
              <w:pStyle w:val="6"/>
            </w:pPr>
            <w:r>
              <w:t>说明如果发生损害，是否可以获得医药治疗。说明如果发生损害时可以获得医药治疗，它将包括哪些内容，或者可以从哪里获得进一步的信息</w:t>
            </w:r>
          </w:p>
        </w:tc>
        <w:tc>
          <w:tcPr>
            <w:tcW w:w="104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lang w:val="en-US" w:eastAsia="zh-CN"/>
        </w:rPr>
      </w:pPr>
    </w:p>
    <w:p>
      <w:pPr>
        <w:numPr>
          <w:ilvl w:val="0"/>
          <w:numId w:val="0"/>
        </w:numPr>
        <w:ind w:leftChars="0"/>
      </w:pPr>
      <w:r>
        <w:rPr>
          <w:rFonts w:hint="eastAsia" w:ascii="宋体" w:hAnsi="宋体" w:eastAsia="宋体" w:cs="宋体"/>
          <w:lang w:val="en-US" w:eastAsia="zh-CN"/>
        </w:rPr>
        <w:t>2.4</w:t>
      </w:r>
      <w:r>
        <w:t>附加信息：适当时，知情同意文件提供给每位受试者的附加信息：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说明特定的治疗或程序可能对受试者存在目前无法预见的风险</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说明受试者怀孕或可能怀孕，特定的治疗或程序可能对胚胎或胎儿存在目前无法预见的风险</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预期在什么情况下，研究者可以不经受试者同意，提前终止受试者参与研究</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受试者参加研究可能产生的任何额外费用</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受试者决定退出研究的后果</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有序终止受试者参与研究的程序</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说明研究期间发现可能与受试者继续参与研究意愿有关的重要新发现，将提供给受试者</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参与研究的受试者的大概人数</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支付给受试者所有补偿的数额和按比例支付的计划</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pStyle w:val="6"/>
      </w:pPr>
      <w:r>
        <w:rPr>
          <w:rFonts w:hint="eastAsia" w:ascii="宋体" w:hAnsi="宋体" w:eastAsia="宋体" w:cs="宋体"/>
          <w:lang w:val="en-US" w:eastAsia="zh-CN"/>
        </w:rPr>
        <w:t>3.</w:t>
      </w:r>
      <w:r>
        <w:t>有适当的文件证明知情同意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知情同意通常以书面文件的方式，将所披露的基本信息和适当的附加信息记录在案</w:t>
            </w:r>
          </w:p>
        </w:tc>
        <w:tc>
          <w:tcPr>
            <w:tcW w:w="98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受试者或其监护人将签署知情同意书并注明日期</w:t>
            </w:r>
          </w:p>
        </w:tc>
        <w:tc>
          <w:tcPr>
            <w:tcW w:w="98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如果受试者或监护人没有阅读能力，获取其口头知情同意时需要有一名见证人。对于不会讲本地母语的受试者，见证人必须熟悉本地母语及受试者语言。见证人将在知情同意文件上签名并注明日期，以证明知情同意过程</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实际获取知情同意的人将签署知情同意书并注明日期</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将向受试者或其监护人提供一份已签署的知情同意书副本</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将在病史中记录知情同意的具体时间和人员</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ascii="宋体" w:hAnsi="宋体" w:eastAsia="宋体" w:cs="宋体"/>
          <w:lang w:val="en-US" w:eastAsia="zh-CN"/>
        </w:rPr>
      </w:pPr>
    </w:p>
    <w:p>
      <w:pPr>
        <w:numPr>
          <w:ilvl w:val="0"/>
          <w:numId w:val="0"/>
        </w:numPr>
        <w:ind w:leftChars="0"/>
        <w:rPr>
          <w:rFonts w:hint="eastAsia" w:ascii="宋体" w:hAnsi="宋体" w:eastAsia="宋体" w:cs="宋体"/>
          <w:lang w:val="en-US" w:eastAsia="zh-CN"/>
        </w:rPr>
      </w:pPr>
    </w:p>
    <w:p>
      <w:pPr>
        <w:numPr>
          <w:ilvl w:val="0"/>
          <w:numId w:val="0"/>
        </w:numPr>
        <w:ind w:leftChars="0"/>
        <w:rPr>
          <w:rFonts w:hint="default"/>
          <w:sz w:val="24"/>
          <w:szCs w:val="24"/>
          <w:lang w:val="en-US" w:eastAsia="zh-CN"/>
        </w:rPr>
      </w:pPr>
      <w:r>
        <w:rPr>
          <w:rFonts w:hint="eastAsia"/>
          <w:sz w:val="24"/>
          <w:szCs w:val="24"/>
          <w:lang w:val="en-US" w:eastAsia="zh-CN"/>
        </w:rPr>
        <w:t>六、隐私的保护</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919" w:hRule="atLeast"/>
        </w:trPr>
        <w:tc>
          <w:tcPr>
            <w:tcW w:w="8920" w:type="dxa"/>
            <w:tcBorders>
              <w:top w:val="nil"/>
              <w:left w:val="nil"/>
              <w:bottom w:val="nil"/>
              <w:right w:val="nil"/>
            </w:tcBorders>
            <w:shd w:val="clear" w:color="auto" w:fill="BEBEBE"/>
            <w:noWrap w:val="0"/>
            <w:vAlign w:val="center"/>
          </w:tcPr>
          <w:p>
            <w:pPr>
              <w:pStyle w:val="6"/>
              <w:rPr>
                <w:rFonts w:hint="default"/>
                <w:szCs w:val="21"/>
                <w:shd w:val="clear" w:color="auto" w:fill="auto"/>
                <w:vertAlign w:val="baseline"/>
                <w:lang w:val="en-US" w:eastAsia="zh-CN"/>
              </w:rPr>
            </w:pPr>
            <w:r>
              <w:rPr>
                <w:rFonts w:hint="eastAsia"/>
                <w:lang w:eastAsia="zh-CN"/>
              </w:rPr>
              <w:t>标准：</w:t>
            </w:r>
            <w:r>
              <w:t>在适当的情况下，研究有合适的规定以保护受试者的隐私。</w:t>
            </w:r>
          </w:p>
        </w:tc>
      </w:tr>
    </w:tbl>
    <w:p>
      <w:pPr>
        <w:pStyle w:val="6"/>
        <w:rPr>
          <w:rFonts w:hint="default" w:ascii="宋体" w:hAnsi="宋体" w:eastAsia="宋体" w:cs="宋体"/>
          <w:lang w:val="en-US" w:eastAsia="zh-CN"/>
        </w:rPr>
      </w:pPr>
      <w:r>
        <w:rPr>
          <w:rFonts w:hint="eastAsia" w:ascii="宋体" w:hAnsi="宋体" w:eastAsia="宋体" w:cs="宋体"/>
          <w:lang w:val="en-US" w:eastAsia="zh-CN"/>
        </w:rPr>
        <w:t>1.</w:t>
      </w:r>
      <w:r>
        <w:rPr>
          <w:rFonts w:hint="eastAsia" w:eastAsia="宋体"/>
          <w:lang w:val="en-US" w:eastAsia="zh-CN"/>
        </w:rPr>
        <w:t>适当的情况</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53" w:type="dxa"/>
            <w:noWrap w:val="0"/>
            <w:vAlign w:val="center"/>
          </w:tcPr>
          <w:p>
            <w:pPr>
              <w:pStyle w:val="6"/>
              <w:bidi w:val="0"/>
              <w:rPr>
                <w:rFonts w:hint="eastAsia"/>
              </w:rPr>
            </w:pPr>
            <w:r>
              <w:t>研究不涉及个人隐私信息，则不适用隐私保护的这一审查要素：</w:t>
            </w:r>
            <w:r>
              <w:rPr/>
              <w:sym w:font="Wingdings 2" w:char="00A3"/>
            </w:r>
            <w:r>
              <w:rPr>
                <w:rFonts w:hint="eastAsia"/>
                <w:lang w:val="en-US" w:eastAsia="zh-CN"/>
              </w:rPr>
              <w:t xml:space="preserve"> </w:t>
            </w:r>
            <w:r>
              <w:t>不适用，</w:t>
            </w:r>
            <w:r>
              <w:rPr/>
              <w:sym w:font="Wingdings 2" w:char="00A3"/>
            </w:r>
            <w:r>
              <w:rPr>
                <w:rFonts w:hint="eastAsia"/>
                <w:lang w:val="en-US" w:eastAsia="zh-CN"/>
              </w:rPr>
              <w:t xml:space="preserve"> </w:t>
            </w:r>
            <w:r>
              <w:t>适用→</w:t>
            </w:r>
          </w:p>
        </w:tc>
      </w:tr>
    </w:tbl>
    <w:p>
      <w:pPr>
        <w:numPr>
          <w:ilvl w:val="0"/>
          <w:numId w:val="0"/>
        </w:numPr>
        <w:ind w:leftChars="0"/>
        <w:rPr>
          <w:rFonts w:hint="eastAsia" w:ascii="宋体" w:hAnsi="宋体" w:eastAsia="宋体" w:cs="宋体"/>
          <w:lang w:val="en-US" w:eastAsia="zh-CN"/>
        </w:rPr>
      </w:pPr>
    </w:p>
    <w:p>
      <w:pPr>
        <w:pStyle w:val="6"/>
      </w:pPr>
      <w:r>
        <w:rPr>
          <w:rFonts w:hint="eastAsia" w:ascii="宋体" w:hAnsi="宋体" w:eastAsia="宋体" w:cs="宋体"/>
          <w:lang w:val="en-US" w:eastAsia="zh-CN"/>
        </w:rPr>
        <w:t>2.</w:t>
      </w:r>
      <w:r>
        <w:t>合适的隐私保护规定</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所收集的受试者个人身份、健康相关信息，符合研究目的</w:t>
            </w:r>
          </w:p>
        </w:tc>
        <w:tc>
          <w:tcPr>
            <w:tcW w:w="100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报告研究数据时，以受试者鉴认代码代替受试者姓名及其他身份信息</w:t>
            </w:r>
          </w:p>
        </w:tc>
        <w:tc>
          <w:tcPr>
            <w:tcW w:w="100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发布临床研究结果时隐藏受试者身份信息</w:t>
            </w:r>
          </w:p>
        </w:tc>
        <w:tc>
          <w:tcPr>
            <w:tcW w:w="100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告知受试者：保密程度受到法律和其他规定的限制，例如，申办者的监查稽查、伦理委员会和政府监管部门的检查具有研究信息的直接查阅权；法定传染病依法报告</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numPr>
          <w:ilvl w:val="0"/>
          <w:numId w:val="0"/>
        </w:numPr>
        <w:ind w:leftChars="0"/>
        <w:rPr>
          <w:rFonts w:hint="default" w:ascii="宋体" w:hAnsi="宋体" w:eastAsia="宋体" w:cs="宋体"/>
          <w:lang w:val="en-US" w:eastAsia="zh-CN"/>
        </w:rPr>
      </w:pPr>
    </w:p>
    <w:p>
      <w:pPr>
        <w:pStyle w:val="6"/>
        <w:rPr>
          <w:rFonts w:hint="default"/>
          <w:sz w:val="24"/>
          <w:szCs w:val="24"/>
          <w:lang w:val="en-US" w:eastAsia="zh-CN"/>
        </w:rPr>
      </w:pPr>
      <w:r>
        <w:rPr>
          <w:rFonts w:hint="eastAsia"/>
          <w:sz w:val="24"/>
          <w:szCs w:val="24"/>
          <w:lang w:val="en-US" w:eastAsia="zh-CN"/>
        </w:rPr>
        <w:t>七、</w:t>
      </w:r>
      <w:r>
        <w:rPr>
          <w:sz w:val="24"/>
          <w:szCs w:val="24"/>
        </w:rPr>
        <w:t>可识别数据的保密</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919" w:hRule="atLeast"/>
        </w:trPr>
        <w:tc>
          <w:tcPr>
            <w:tcW w:w="8920" w:type="dxa"/>
            <w:tcBorders>
              <w:top w:val="nil"/>
              <w:left w:val="nil"/>
              <w:bottom w:val="nil"/>
              <w:right w:val="nil"/>
            </w:tcBorders>
            <w:shd w:val="clear" w:color="auto" w:fill="BEBEBE"/>
            <w:noWrap w:val="0"/>
            <w:vAlign w:val="center"/>
          </w:tcPr>
          <w:p>
            <w:pPr>
              <w:pStyle w:val="6"/>
              <w:rPr>
                <w:rFonts w:hint="default"/>
                <w:szCs w:val="21"/>
                <w:shd w:val="clear" w:color="auto" w:fill="auto"/>
                <w:vertAlign w:val="baseline"/>
                <w:lang w:val="en-US" w:eastAsia="zh-CN"/>
              </w:rPr>
            </w:pPr>
            <w:r>
              <w:rPr>
                <w:rFonts w:hint="eastAsia"/>
                <w:lang w:eastAsia="zh-CN"/>
              </w:rPr>
              <w:t>标准：</w:t>
            </w:r>
            <w:r>
              <w:t>在适当的情况下，研究有合适的规定以维护数据的机密性。</w:t>
            </w:r>
          </w:p>
        </w:tc>
      </w:tr>
    </w:tbl>
    <w:p>
      <w:pPr>
        <w:pStyle w:val="6"/>
        <w:rPr>
          <w:rFonts w:hint="default" w:ascii="宋体" w:hAnsi="宋体" w:eastAsia="宋体" w:cs="宋体"/>
          <w:lang w:val="en-US" w:eastAsia="zh-CN"/>
        </w:rPr>
      </w:pPr>
      <w:r>
        <w:rPr>
          <w:rFonts w:hint="eastAsia" w:ascii="宋体" w:hAnsi="宋体" w:eastAsia="宋体" w:cs="宋体"/>
          <w:lang w:val="en-US" w:eastAsia="zh-CN"/>
        </w:rPr>
        <w:t>1.</w:t>
      </w:r>
      <w:r>
        <w:rPr>
          <w:rFonts w:hint="eastAsia" w:eastAsia="宋体"/>
          <w:lang w:val="en-US" w:eastAsia="zh-CN"/>
        </w:rPr>
        <w:t>适当的情况</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53" w:type="dxa"/>
            <w:noWrap w:val="0"/>
            <w:vAlign w:val="center"/>
          </w:tcPr>
          <w:p>
            <w:pPr>
              <w:pStyle w:val="6"/>
              <w:bidi w:val="0"/>
              <w:rPr>
                <w:rFonts w:hint="eastAsia"/>
              </w:rPr>
            </w:pPr>
            <w:r>
              <w:t>研究不涉及可识别身份的数据，则不适用数据保密的这一审查要素：</w:t>
            </w:r>
            <w:r>
              <w:rPr/>
              <w:sym w:font="Wingdings 2" w:char="00A3"/>
            </w:r>
            <w:r>
              <w:rPr>
                <w:rFonts w:hint="eastAsia"/>
                <w:lang w:val="en-US" w:eastAsia="zh-CN"/>
              </w:rPr>
              <w:t xml:space="preserve"> </w:t>
            </w:r>
            <w:r>
              <w:t>不适用，</w:t>
            </w:r>
            <w:r>
              <w:rPr/>
              <w:sym w:font="Wingdings 2" w:char="00A3"/>
            </w:r>
            <w:r>
              <w:rPr>
                <w:rFonts w:hint="eastAsia"/>
                <w:lang w:val="en-US" w:eastAsia="zh-CN"/>
              </w:rPr>
              <w:t xml:space="preserve"> </w:t>
            </w:r>
            <w:r>
              <w:t>适用→</w:t>
            </w:r>
          </w:p>
        </w:tc>
      </w:tr>
    </w:tbl>
    <w:p>
      <w:pPr>
        <w:numPr>
          <w:ilvl w:val="0"/>
          <w:numId w:val="0"/>
        </w:numPr>
        <w:ind w:leftChars="0"/>
        <w:rPr>
          <w:rFonts w:hint="default" w:ascii="宋体" w:hAnsi="宋体" w:eastAsia="宋体" w:cs="宋体"/>
          <w:lang w:val="en-US" w:eastAsia="zh-CN"/>
        </w:rPr>
      </w:pPr>
    </w:p>
    <w:p>
      <w:pPr>
        <w:pStyle w:val="6"/>
      </w:pPr>
      <w:r>
        <w:rPr>
          <w:rFonts w:hint="eastAsia" w:ascii="宋体" w:hAnsi="宋体" w:eastAsia="宋体" w:cs="宋体"/>
          <w:lang w:val="en-US" w:eastAsia="zh-CN"/>
        </w:rPr>
        <w:t>2.</w:t>
      </w:r>
      <w:r>
        <w:t xml:space="preserve"> 合适的维护数据机密性规定</w:t>
      </w:r>
    </w:p>
    <w:p>
      <w:pPr>
        <w:pStyle w:val="6"/>
      </w:pPr>
      <w:r>
        <w:rPr>
          <w:rFonts w:hint="eastAsia" w:ascii="宋体" w:hAnsi="宋体" w:eastAsia="宋体" w:cs="宋体"/>
          <w:lang w:val="en-US" w:eastAsia="zh-CN"/>
        </w:rPr>
        <w:t>2.1</w:t>
      </w:r>
      <w:r>
        <w:t>数据库</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所收集和存储的可识别受试者身份的数据，符合研究目的</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计算机化系统具有完善的权限管理，未经授权的人员不能访问</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存储在数据库中的数据必须匿名或编码</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仅以匿名或编码的方式向研究人员提供数据</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pStyle w:val="6"/>
      </w:pPr>
      <w:r>
        <w:rPr>
          <w:rFonts w:hint="eastAsia" w:ascii="宋体" w:hAnsi="宋体" w:eastAsia="宋体" w:cs="宋体"/>
          <w:lang w:val="en-US" w:eastAsia="zh-CN"/>
        </w:rPr>
        <w:t>2.2</w:t>
      </w:r>
      <w:r>
        <w:t>生物标本库</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存储在生物标本库的标本，采用安全编码隐藏受试者的个人身份信息</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仅以匿名或编码的方式向研究人员提供生物标本</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未经受试者同意，其个人的遗传疾病检验结果不会透露给其直系亲属</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pStyle w:val="6"/>
      </w:pPr>
      <w:r>
        <w:rPr>
          <w:rFonts w:hint="eastAsia" w:ascii="宋体" w:hAnsi="宋体" w:eastAsia="宋体" w:cs="宋体"/>
          <w:lang w:val="en-US" w:eastAsia="zh-CN"/>
        </w:rPr>
        <w:t>2.3</w:t>
      </w:r>
      <w:r>
        <w:t>发表研究结果</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如果发布临床研究结果，受试者的身份信息仍保密</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numPr>
          <w:ilvl w:val="0"/>
          <w:numId w:val="0"/>
        </w:numPr>
        <w:ind w:leftChars="0"/>
        <w:rPr>
          <w:rFonts w:hint="default" w:ascii="宋体" w:hAnsi="宋体" w:eastAsia="宋体" w:cs="宋体"/>
          <w:sz w:val="21"/>
          <w:szCs w:val="21"/>
          <w:lang w:val="en-US" w:eastAsia="zh-CN"/>
        </w:rPr>
      </w:pPr>
    </w:p>
    <w:p>
      <w:pPr>
        <w:pStyle w:val="6"/>
        <w:rPr>
          <w:rFonts w:hint="default"/>
          <w:sz w:val="24"/>
          <w:szCs w:val="24"/>
          <w:lang w:val="en-US" w:eastAsia="zh-CN"/>
        </w:rPr>
      </w:pPr>
      <w:r>
        <w:rPr>
          <w:rFonts w:hint="eastAsia"/>
          <w:sz w:val="24"/>
          <w:szCs w:val="24"/>
          <w:lang w:val="en-US" w:eastAsia="zh-CN"/>
        </w:rPr>
        <w:t>八、</w:t>
      </w:r>
      <w:r>
        <w:rPr>
          <w:sz w:val="24"/>
          <w:szCs w:val="28"/>
        </w:rPr>
        <w:t>弱势人群的附加保护</w:t>
      </w:r>
    </w:p>
    <w:tbl>
      <w:tblPr>
        <w:tblStyle w:val="8"/>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blCellMar>
            <w:top w:w="0" w:type="dxa"/>
            <w:left w:w="108" w:type="dxa"/>
            <w:bottom w:w="0" w:type="dxa"/>
            <w:right w:w="108" w:type="dxa"/>
          </w:tblCellMar>
        </w:tblPrEx>
        <w:trPr>
          <w:trHeight w:val="919" w:hRule="atLeast"/>
        </w:trPr>
        <w:tc>
          <w:tcPr>
            <w:tcW w:w="8920" w:type="dxa"/>
            <w:tcBorders>
              <w:top w:val="nil"/>
              <w:left w:val="nil"/>
              <w:bottom w:val="nil"/>
              <w:right w:val="nil"/>
            </w:tcBorders>
            <w:shd w:val="clear" w:color="auto" w:fill="BEBEBE"/>
            <w:noWrap w:val="0"/>
            <w:vAlign w:val="center"/>
          </w:tcPr>
          <w:p>
            <w:pPr>
              <w:pStyle w:val="6"/>
              <w:rPr>
                <w:rFonts w:hint="default"/>
                <w:szCs w:val="21"/>
                <w:shd w:val="clear" w:color="auto" w:fill="auto"/>
                <w:vertAlign w:val="baseline"/>
                <w:lang w:val="en-US" w:eastAsia="zh-CN"/>
              </w:rPr>
            </w:pPr>
            <w:r>
              <w:rPr>
                <w:rFonts w:hint="eastAsia"/>
                <w:lang w:eastAsia="zh-CN"/>
              </w:rPr>
              <w:t>标准：</w:t>
            </w:r>
            <w:r>
              <w:t>当部分或所有受试者可能容易受到胁迫或不当影响时，研究包括附加的保护措施，以保护这些受试者的权益和安全。</w:t>
            </w:r>
          </w:p>
        </w:tc>
      </w:tr>
    </w:tbl>
    <w:p>
      <w:pPr>
        <w:pStyle w:val="6"/>
        <w:rPr>
          <w:rFonts w:hint="default" w:ascii="宋体" w:hAnsi="宋体" w:eastAsia="宋体" w:cs="宋体"/>
          <w:lang w:val="en-US" w:eastAsia="zh-CN"/>
        </w:rPr>
      </w:pPr>
      <w:r>
        <w:rPr>
          <w:rFonts w:hint="eastAsia" w:ascii="宋体" w:hAnsi="宋体" w:eastAsia="宋体" w:cs="宋体"/>
          <w:lang w:val="en-US" w:eastAsia="zh-CN"/>
        </w:rPr>
        <w:t>1.</w:t>
      </w:r>
      <w:r>
        <w:t>研究是否涉及弱势人群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853" w:type="dxa"/>
            <w:noWrap w:val="0"/>
            <w:vAlign w:val="center"/>
          </w:tcPr>
          <w:p>
            <w:pPr>
              <w:pStyle w:val="6"/>
              <w:bidi w:val="0"/>
              <w:rPr>
                <w:rFonts w:hint="eastAsia"/>
              </w:rPr>
            </w:pPr>
            <w:r>
              <w:t>研究不涉及弱势人群，则不适用弱势人群的附加保护这一审查要素：</w:t>
            </w:r>
            <w:r>
              <w:rPr/>
              <w:sym w:font="Wingdings 2" w:char="00A3"/>
            </w:r>
            <w:r>
              <w:rPr>
                <w:rFonts w:hint="eastAsia"/>
                <w:lang w:val="en-US" w:eastAsia="zh-CN"/>
              </w:rPr>
              <w:t xml:space="preserve"> </w:t>
            </w:r>
            <w:r>
              <w:t>不适用，</w:t>
            </w:r>
            <w:r>
              <w:rPr/>
              <w:sym w:font="Wingdings 2" w:char="00A3"/>
            </w:r>
            <w:r>
              <w:rPr>
                <w:rFonts w:hint="eastAsia"/>
                <w:lang w:val="en-US" w:eastAsia="zh-CN"/>
              </w:rPr>
              <w:t xml:space="preserve"> </w:t>
            </w:r>
            <w:r>
              <w:t>适用→</w:t>
            </w:r>
          </w:p>
        </w:tc>
      </w:tr>
    </w:tbl>
    <w:p>
      <w:pPr>
        <w:numPr>
          <w:ilvl w:val="0"/>
          <w:numId w:val="0"/>
        </w:numPr>
        <w:ind w:leftChars="0"/>
        <w:rPr>
          <w:rFonts w:hint="default" w:ascii="宋体" w:hAnsi="宋体" w:eastAsia="宋体" w:cs="宋体"/>
          <w:sz w:val="21"/>
          <w:szCs w:val="21"/>
          <w:lang w:val="en-US" w:eastAsia="zh-CN"/>
        </w:rPr>
      </w:pPr>
    </w:p>
    <w:p>
      <w:pPr>
        <w:pStyle w:val="6"/>
      </w:pPr>
      <w:r>
        <w:rPr>
          <w:rFonts w:hint="eastAsia" w:ascii="宋体" w:hAnsi="宋体" w:eastAsia="宋体" w:cs="宋体"/>
          <w:sz w:val="21"/>
          <w:szCs w:val="21"/>
          <w:lang w:val="en-US" w:eastAsia="zh-CN"/>
        </w:rPr>
        <w:t>2.</w:t>
      </w:r>
      <w:r>
        <w:t>涉及无知情同意能力成人的研究：</w:t>
      </w:r>
      <w:r>
        <w:rPr/>
        <w:sym w:font="Wingdings 2" w:char="00A3"/>
      </w:r>
      <w:r>
        <w:rPr>
          <w:rFonts w:hint="eastAsia"/>
          <w:lang w:val="en-US" w:eastAsia="zh-CN"/>
        </w:rPr>
        <w:t xml:space="preserve"> </w:t>
      </w:r>
      <w:r>
        <w:t>不属于此类研究，</w:t>
      </w:r>
      <w:r>
        <w:rPr/>
        <w:sym w:font="Wingdings 2" w:char="00A3"/>
      </w:r>
      <w:r>
        <w:rPr>
          <w:rFonts w:hint="eastAsia"/>
          <w:lang w:val="en-US" w:eastAsia="zh-CN"/>
        </w:rPr>
        <w:t xml:space="preserve"> </w:t>
      </w:r>
      <w:r>
        <w:t>属于此类研究→</w:t>
      </w:r>
    </w:p>
    <w:p>
      <w:pPr>
        <w:numPr>
          <w:ilvl w:val="0"/>
          <w:numId w:val="0"/>
        </w:numPr>
        <w:ind w:leftChars="0"/>
      </w:pPr>
      <w:r>
        <w:rPr>
          <w:rFonts w:hint="eastAsia" w:ascii="宋体" w:hAnsi="宋体" w:eastAsia="宋体" w:cs="宋体"/>
          <w:sz w:val="21"/>
          <w:szCs w:val="21"/>
          <w:lang w:val="en-US" w:eastAsia="zh-CN"/>
        </w:rPr>
        <w:t>2.1</w:t>
      </w:r>
      <w:r>
        <w:t>知情同意的附加保护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无能力给予知情同意的人的监护人已经给予许可，该许可考虑了受试者以前形成的偏好和价值观（如果有的话）；并且，针对受试者理解信息的能力，提供了充分的研究信息，获得了与受试者能力相符的同意（赞同）</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如果受试者在研究过程中具备了给予知情同意的能力，则必须获得其对继续参加研究的同意</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作为一般规则，潜在受试者拒绝参加研究必须得到尊重，除非在特殊情况下，参加研究被认为是无能力给予知情同意的个人可获得的最佳医疗选择</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如果受试者在完全有能力给予知情同意的情况下做出参加研究书面的预先指示，则应遵守该指示</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pStyle w:val="6"/>
      </w:pPr>
      <w:r>
        <w:rPr>
          <w:rFonts w:hint="eastAsia" w:ascii="宋体" w:hAnsi="宋体" w:eastAsia="宋体" w:cs="宋体"/>
          <w:lang w:val="en-US" w:eastAsia="zh-CN"/>
        </w:rPr>
        <w:t>2.2</w:t>
      </w:r>
      <w:r>
        <w:t xml:space="preserve"> 风险可以接受条件的附加保护</w:t>
      </w:r>
    </w:p>
    <w:p>
      <w:pPr>
        <w:pStyle w:val="6"/>
      </w:pPr>
      <w:r>
        <w:rPr>
          <w:rFonts w:hint="eastAsia" w:ascii="宋体" w:hAnsi="宋体" w:eastAsia="宋体" w:cs="宋体"/>
          <w:lang w:val="en-US" w:eastAsia="zh-CN"/>
        </w:rPr>
        <w:t>2.2.1</w:t>
      </w:r>
      <w:r>
        <w:t>对无知情同意能力的成人具有潜在获益的研究干预或程序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风险必须最小化</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预期的潜在个人获益应当超过风险</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pStyle w:val="6"/>
      </w:pPr>
      <w:r>
        <w:rPr>
          <w:rFonts w:hint="eastAsia" w:ascii="宋体" w:hAnsi="宋体" w:eastAsia="宋体" w:cs="宋体"/>
          <w:sz w:val="21"/>
          <w:szCs w:val="21"/>
          <w:lang w:val="en-US" w:eastAsia="zh-CN"/>
        </w:rPr>
        <w:t>2.2.2</w:t>
      </w:r>
      <w:r>
        <w:t>对无知情同意能力的成人没有潜在个人获益的研究干预或程序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4"/>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如果研究干预和程序的目标疾病人群包括无知情同意能力的人和具有知情同意能力的人，应当首先在具有知情同意能力的人群中研究该干预和程序，除非如果没有无知情同意能力者参加就无法获得所需的数据</w:t>
            </w:r>
          </w:p>
        </w:tc>
        <w:tc>
          <w:tcPr>
            <w:tcW w:w="101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34" w:type="dxa"/>
            <w:noWrap w:val="0"/>
            <w:vAlign w:val="center"/>
          </w:tcPr>
          <w:p>
            <w:pPr>
              <w:pStyle w:val="6"/>
            </w:pPr>
            <w:r>
              <w:t>风险必须最小化，且风险程度不得超过最低风险。当此类研究的干预和程序的社会价值是令人信服的，并且研究不能在具有知情同意能力者中进行，伦理委员会可以允许风险稍高于最低风险</w:t>
            </w:r>
          </w:p>
        </w:tc>
        <w:tc>
          <w:tcPr>
            <w:tcW w:w="101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ascii="宋体" w:hAnsi="宋体" w:eastAsia="宋体" w:cs="宋体"/>
          <w:sz w:val="21"/>
          <w:szCs w:val="21"/>
          <w:lang w:val="en-US" w:eastAsia="zh-CN"/>
        </w:rPr>
      </w:pPr>
    </w:p>
    <w:p>
      <w:pPr>
        <w:numPr>
          <w:ilvl w:val="0"/>
          <w:numId w:val="0"/>
        </w:numPr>
        <w:ind w:lef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t>涉及儿童和青少年的研究：</w:t>
      </w:r>
      <w:r>
        <w:rPr/>
        <w:sym w:font="Wingdings 2" w:char="00A3"/>
      </w:r>
      <w:r>
        <w:rPr>
          <w:rFonts w:hint="eastAsia"/>
          <w:lang w:val="en-US" w:eastAsia="zh-CN"/>
        </w:rPr>
        <w:t xml:space="preserve"> </w:t>
      </w:r>
      <w:r>
        <w:t>不属于此类研究，</w:t>
      </w:r>
      <w:r>
        <w:rPr/>
        <w:sym w:font="Wingdings 2" w:char="00A3"/>
      </w:r>
      <w:r>
        <w:rPr>
          <w:rFonts w:hint="eastAsia"/>
          <w:lang w:val="en-US" w:eastAsia="zh-CN"/>
        </w:rPr>
        <w:t xml:space="preserve"> </w:t>
      </w:r>
      <w:r>
        <w:t>属于此类研究→</w:t>
      </w:r>
    </w:p>
    <w:p>
      <w:pPr>
        <w:pStyle w:val="6"/>
      </w:pPr>
      <w:r>
        <w:rPr>
          <w:rFonts w:hint="eastAsia" w:ascii="宋体" w:hAnsi="宋体" w:eastAsia="宋体" w:cs="宋体"/>
          <w:sz w:val="21"/>
          <w:szCs w:val="21"/>
          <w:lang w:val="en-US" w:eastAsia="zh-CN"/>
        </w:rPr>
        <w:t>3.1</w:t>
      </w:r>
      <w:r>
        <w:t>知情同意的附加保护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儿童或青少年的父母或监护人已给予许可；并且，提供足够的、根据儿童或青少年发育程度定制的研究信息之后，获得与儿童或青少年能力相符的同意（赞同）</w:t>
            </w:r>
          </w:p>
        </w:tc>
        <w:tc>
          <w:tcPr>
            <w:tcW w:w="100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如果未成年人在研究期间达到法定成人年龄，应当获得他们对继续参加研究的同意</w:t>
            </w:r>
          </w:p>
        </w:tc>
        <w:tc>
          <w:tcPr>
            <w:tcW w:w="100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49" w:type="dxa"/>
            <w:noWrap w:val="0"/>
            <w:vAlign w:val="center"/>
          </w:tcPr>
          <w:p>
            <w:pPr>
              <w:pStyle w:val="6"/>
            </w:pPr>
            <w:r>
              <w:t>作为一般规则，儿童或青少年拒绝参加或拒绝继续参加研究必须得到尊重，除非在特殊情况下，参加研究被认为是儿童或青少年的最佳医疗选择</w:t>
            </w:r>
          </w:p>
        </w:tc>
        <w:tc>
          <w:tcPr>
            <w:tcW w:w="100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ascii="宋体" w:hAnsi="宋体" w:eastAsia="宋体" w:cs="宋体"/>
          <w:sz w:val="21"/>
          <w:szCs w:val="21"/>
          <w:lang w:val="en-US" w:eastAsia="zh-CN"/>
        </w:rPr>
      </w:pPr>
    </w:p>
    <w:p>
      <w:pPr>
        <w:pStyle w:val="6"/>
      </w:pPr>
      <w:r>
        <w:rPr>
          <w:rFonts w:hint="eastAsia" w:ascii="宋体" w:hAnsi="宋体" w:eastAsia="宋体" w:cs="宋体"/>
          <w:sz w:val="21"/>
          <w:szCs w:val="21"/>
          <w:lang w:val="en-US" w:eastAsia="zh-CN"/>
        </w:rPr>
        <w:t>3.2</w:t>
      </w:r>
      <w:r>
        <w:t>风险可以接受条件的附加保护</w:t>
      </w:r>
    </w:p>
    <w:p>
      <w:pPr>
        <w:pStyle w:val="6"/>
      </w:pPr>
      <w:r>
        <w:rPr>
          <w:rFonts w:hint="eastAsia" w:ascii="宋体" w:hAnsi="宋体" w:eastAsia="宋体" w:cs="宋体"/>
          <w:sz w:val="21"/>
          <w:szCs w:val="21"/>
          <w:lang w:val="en-US" w:eastAsia="zh-CN"/>
        </w:rPr>
        <w:t>3.2.1</w:t>
      </w:r>
      <w:r>
        <w:t>对儿童或青少年具有潜在获益的研究干预或程序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风险必须最小化</w:t>
            </w:r>
          </w:p>
        </w:tc>
        <w:tc>
          <w:tcPr>
            <w:tcW w:w="98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预期的潜在个人获益应当超过风险</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pStyle w:val="6"/>
      </w:pPr>
      <w:r>
        <w:rPr>
          <w:rFonts w:hint="eastAsia" w:ascii="宋体" w:hAnsi="宋体" w:eastAsia="宋体" w:cs="宋体"/>
          <w:sz w:val="21"/>
          <w:szCs w:val="21"/>
          <w:lang w:val="en-US" w:eastAsia="zh-CN"/>
        </w:rPr>
        <w:t>3.2.2</w:t>
      </w:r>
      <w:r>
        <w:t>对儿童或青少年没有潜在个人获益的研究干预或程序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如果研究干预和程序的目标疾病人群包括成人以及儿童和青少年，应当首先在成年人中研究该干预和程序，除非如果没有儿童或青少年参加就无法获得所需的数据</w:t>
            </w:r>
          </w:p>
        </w:tc>
        <w:tc>
          <w:tcPr>
            <w:tcW w:w="989"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风险必须最小化，且风险程度不得超过最低风险。当此类研究的干预和程序的社会价值是令人信服的，并且研究不能在成人中进行，伦理委员会可以允许风险稍高于最低风险</w:t>
            </w:r>
          </w:p>
        </w:tc>
        <w:tc>
          <w:tcPr>
            <w:tcW w:w="989"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sz w:val="21"/>
          <w:szCs w:val="21"/>
          <w:lang w:val="en-US" w:eastAsia="zh-CN"/>
        </w:rPr>
      </w:pPr>
    </w:p>
    <w:p>
      <w:pPr>
        <w:numPr>
          <w:ilvl w:val="0"/>
          <w:numId w:val="0"/>
        </w:numPr>
        <w:ind w:lef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t>涉及育龄妇女的研究</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r>
        <w:t xml:space="preserve"> 知情同意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64" w:type="dxa"/>
            <w:noWrap w:val="0"/>
            <w:vAlign w:val="center"/>
          </w:tcPr>
          <w:p>
            <w:pPr>
              <w:pStyle w:val="6"/>
            </w:pPr>
            <w:r>
              <w:t>告知育龄妇女，如果她们在参加研究期间怀孕，对胎儿可能存在的风险</w:t>
            </w:r>
          </w:p>
        </w:tc>
        <w:tc>
          <w:tcPr>
            <w:tcW w:w="989" w:type="dxa"/>
            <w:noWrap w:val="0"/>
            <w:vAlign w:val="center"/>
          </w:tcPr>
          <w:p>
            <w:pPr>
              <w:pStyle w:val="6"/>
              <w:bidi w:val="0"/>
              <w:jc w:val="both"/>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Arial" w:hAnsi="Arial" w:eastAsia="宋体" w:cs="Arial"/>
          <w:sz w:val="21"/>
          <w:szCs w:val="21"/>
          <w:vertAlign w:val="baseline"/>
          <w:lang w:val="en-US" w:eastAsia="zh-CN"/>
        </w:rPr>
      </w:pPr>
    </w:p>
    <w:p>
      <w:pPr>
        <w:numPr>
          <w:ilvl w:val="0"/>
          <w:numId w:val="0"/>
        </w:numPr>
        <w:ind w:leftChars="0"/>
      </w:pPr>
      <w:r>
        <w:rPr>
          <w:rFonts w:hint="eastAsia" w:ascii="宋体" w:hAnsi="宋体" w:eastAsia="宋体" w:cs="宋体"/>
          <w:sz w:val="21"/>
          <w:szCs w:val="21"/>
          <w:vertAlign w:val="baseline"/>
          <w:lang w:val="en-US" w:eastAsia="zh-CN"/>
        </w:rPr>
        <w:t>4.2</w:t>
      </w:r>
      <w:r>
        <w:t>已知试验药物具有致突变性或致畸性：</w:t>
      </w:r>
      <w:r>
        <w:rPr/>
        <w:sym w:font="Wingdings 2" w:char="00A3"/>
      </w:r>
      <w:r>
        <w:rPr>
          <w:rFonts w:hint="eastAsia"/>
          <w:lang w:val="en-US" w:eastAsia="zh-CN"/>
        </w:rPr>
        <w:t xml:space="preserve"> </w:t>
      </w:r>
      <w:r>
        <w:t>不属于此类研究，</w:t>
      </w:r>
      <w:r>
        <w:rPr/>
        <w:sym w:font="Wingdings 2" w:char="00A3"/>
      </w:r>
      <w:r>
        <w:rPr>
          <w:rFonts w:hint="eastAsia"/>
          <w:lang w:val="en-US" w:eastAsia="zh-CN"/>
        </w:rPr>
        <w:t xml:space="preserve"> </w:t>
      </w:r>
      <w:r>
        <w:t>属于此类研究→</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确保育龄妇女接受干预之前经过妊娠试验，可以获得有效的避孕方法，以及安全合法的人工流产保障</w:t>
            </w:r>
          </w:p>
        </w:tc>
        <w:tc>
          <w:tcPr>
            <w:tcW w:w="1034" w:type="dxa"/>
            <w:noWrap w:val="0"/>
            <w:vAlign w:val="center"/>
          </w:tcPr>
          <w:p>
            <w:pPr>
              <w:pStyle w:val="6"/>
              <w:bidi w:val="0"/>
              <w:jc w:val="both"/>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知情同意应当告知，如果意外怀孕，必须退出研究，并对其在怀孕和分娩期间进行跟踪随访和提供护理。同时，必须为胎儿提供诊断性检查，如果发现胎儿异常，孕妇希望流产，则可为其安排流产</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numPr>
          <w:ilvl w:val="0"/>
          <w:numId w:val="0"/>
        </w:numPr>
        <w:ind w:leftChars="0"/>
        <w:rPr>
          <w:rFonts w:hint="default" w:ascii="宋体" w:hAnsi="宋体" w:eastAsia="宋体" w:cs="宋体"/>
          <w:sz w:val="21"/>
          <w:szCs w:val="21"/>
          <w:lang w:val="en-US" w:eastAsia="zh-CN"/>
        </w:rPr>
      </w:pPr>
      <w:r>
        <w:rPr>
          <w:rFonts w:hint="eastAsia" w:ascii="宋体" w:hAnsi="宋体" w:eastAsia="宋体" w:cs="宋体"/>
          <w:lang w:val="en-US" w:eastAsia="zh-CN"/>
        </w:rPr>
        <w:t>5.</w:t>
      </w:r>
      <w:r>
        <w:t>涉及孕妇和哺乳妇女的研究：</w:t>
      </w:r>
      <w:r>
        <w:rPr/>
        <w:sym w:font="Wingdings 2" w:char="00A3"/>
      </w:r>
      <w:r>
        <w:rPr>
          <w:rFonts w:hint="eastAsia"/>
          <w:lang w:val="en-US" w:eastAsia="zh-CN"/>
        </w:rPr>
        <w:t xml:space="preserve"> </w:t>
      </w:r>
      <w:r>
        <w:t>不属于此类研究，</w:t>
      </w:r>
      <w:r>
        <w:rPr/>
        <w:sym w:font="Wingdings 2" w:char="00A3"/>
      </w:r>
      <w:r>
        <w:rPr>
          <w:rFonts w:hint="eastAsia"/>
          <w:lang w:val="en-US" w:eastAsia="zh-CN"/>
        </w:rPr>
        <w:t xml:space="preserve"> </w:t>
      </w:r>
      <w:r>
        <w:t>属于此类研究→</w:t>
      </w:r>
    </w:p>
    <w:p>
      <w:pPr>
        <w:numPr>
          <w:ilvl w:val="0"/>
          <w:numId w:val="0"/>
        </w:numPr>
        <w:ind w:leftChars="0"/>
      </w:pPr>
      <w:r>
        <w:rPr>
          <w:rFonts w:hint="eastAsia" w:ascii="宋体" w:hAnsi="宋体" w:eastAsia="宋体" w:cs="宋体"/>
          <w:lang w:val="en-US" w:eastAsia="zh-CN"/>
        </w:rPr>
        <w:t>5.1</w:t>
      </w:r>
      <w:r>
        <w:t>知情同意的附加保护</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告知研究给她们自身、妊娠、胎儿及其后代带来的风险</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告知所采取的潜在个人获益最大化和风险最小化的措施</w:t>
            </w:r>
          </w:p>
        </w:tc>
        <w:tc>
          <w:tcPr>
            <w:tcW w:w="103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告知有关风险的证据可能是未知的或有争议的，而且通常很难对胎儿或婴儿的异常确定因果关系</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在任何情况下，不得以其他人的许可取代孕妇或哺乳妇女自己的知情同意决定</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是否要求伦理委员会或第三方观察知情同意的过程</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pStyle w:val="6"/>
      </w:pPr>
      <w:r>
        <w:rPr>
          <w:rFonts w:hint="eastAsia" w:ascii="宋体" w:hAnsi="宋体" w:eastAsia="宋体" w:cs="宋体"/>
          <w:lang w:val="en-US" w:eastAsia="zh-CN"/>
        </w:rPr>
        <w:t>5.2</w:t>
      </w:r>
      <w:r>
        <w:t>风险可以接受条件的附加保护</w:t>
      </w:r>
    </w:p>
    <w:p>
      <w:pPr>
        <w:pStyle w:val="6"/>
      </w:pPr>
      <w:r>
        <w:rPr>
          <w:rFonts w:hint="eastAsia" w:ascii="宋体" w:hAnsi="宋体" w:eastAsia="宋体" w:cs="宋体"/>
          <w:lang w:val="en-US" w:eastAsia="zh-CN"/>
        </w:rPr>
        <w:t>5.2.1</w:t>
      </w:r>
      <w:r>
        <w:t>对孕妇、哺乳妇女、胎儿或婴儿具有潜在获益的研究干预或程序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风险必须最小化</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819" w:type="dxa"/>
            <w:noWrap w:val="0"/>
            <w:vAlign w:val="center"/>
          </w:tcPr>
          <w:p>
            <w:pPr>
              <w:pStyle w:val="6"/>
            </w:pPr>
            <w:r>
              <w:t>预期的潜在个人获益应当超过风险</w:t>
            </w:r>
          </w:p>
        </w:tc>
        <w:tc>
          <w:tcPr>
            <w:tcW w:w="103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ascii="宋体" w:hAnsi="宋体" w:eastAsia="宋体" w:cs="宋体"/>
          <w:lang w:val="en-US" w:eastAsia="zh-CN"/>
        </w:rPr>
      </w:pPr>
    </w:p>
    <w:p>
      <w:pPr>
        <w:numPr>
          <w:ilvl w:val="0"/>
          <w:numId w:val="0"/>
        </w:numPr>
        <w:ind w:leftChars="0"/>
      </w:pPr>
      <w:r>
        <w:rPr>
          <w:rFonts w:hint="eastAsia" w:ascii="宋体" w:hAnsi="宋体" w:eastAsia="宋体" w:cs="宋体"/>
          <w:lang w:val="en-US" w:eastAsia="zh-CN"/>
        </w:rPr>
        <w:t>5.2.2</w:t>
      </w:r>
      <w:r>
        <w:t>对孕妇和哺乳妇女没有潜在个人获益的研究干预或程序</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9"/>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pPr>
            <w:r>
              <w:t>研究目的是获得孕妇、哺乳妇女、胎儿或婴儿特定健康需求的知识</w:t>
            </w:r>
          </w:p>
        </w:tc>
        <w:tc>
          <w:tcPr>
            <w:tcW w:w="106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89" w:type="dxa"/>
            <w:noWrap w:val="0"/>
            <w:vAlign w:val="center"/>
          </w:tcPr>
          <w:p>
            <w:pPr>
              <w:pStyle w:val="6"/>
            </w:pPr>
            <w:r>
              <w:t>风险必须最小化，且风险程度不得超过最低风险。当涉及孕妇、哺乳妇女、胎儿或婴儿的研究的社会价值是令人信服的，并且研究不能在非妊娠或非母乳喂养的妇女中进行，伦理委员会可以允许风险稍高于最低风险</w:t>
            </w:r>
          </w:p>
        </w:tc>
        <w:tc>
          <w:tcPr>
            <w:tcW w:w="106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numPr>
          <w:ilvl w:val="0"/>
          <w:numId w:val="0"/>
        </w:numPr>
        <w:ind w:leftChars="0"/>
        <w:rPr>
          <w:rFonts w:hint="default"/>
          <w:sz w:val="24"/>
          <w:szCs w:val="28"/>
          <w:lang w:val="en-US" w:eastAsia="zh-CN"/>
        </w:rPr>
      </w:pPr>
    </w:p>
    <w:p>
      <w:pPr>
        <w:pStyle w:val="6"/>
        <w:rPr>
          <w:sz w:val="24"/>
          <w:szCs w:val="28"/>
        </w:rPr>
      </w:pPr>
      <w:r>
        <w:rPr>
          <w:rFonts w:hint="eastAsia"/>
          <w:sz w:val="24"/>
          <w:szCs w:val="28"/>
          <w:lang w:val="en-US" w:eastAsia="zh-CN"/>
        </w:rPr>
        <w:t>九、</w:t>
      </w:r>
      <w:r>
        <w:rPr>
          <w:sz w:val="24"/>
          <w:szCs w:val="28"/>
        </w:rPr>
        <w:t>研究者和研究人员的经济利益冲突</w:t>
      </w:r>
    </w:p>
    <w:p>
      <w:pPr>
        <w:pStyle w:val="6"/>
      </w:pPr>
      <w:r>
        <w:rPr>
          <w:rFonts w:hint="eastAsia" w:ascii="宋体" w:hAnsi="宋体" w:eastAsia="宋体" w:cs="宋体"/>
          <w:lang w:val="en-US" w:eastAsia="zh-CN"/>
        </w:rPr>
        <w:t>1.</w:t>
      </w:r>
      <w:r>
        <w:t>研究者和研究人员的声明：</w:t>
      </w:r>
      <w:r>
        <w:rPr/>
        <w:sym w:font="Wingdings 2" w:char="00A3"/>
      </w:r>
      <w:r>
        <w:rPr>
          <w:rFonts w:hint="eastAsia"/>
          <w:lang w:val="en-US" w:eastAsia="zh-CN"/>
        </w:rPr>
        <w:t xml:space="preserve"> </w:t>
      </w:r>
      <w:r>
        <w:t>不存在经济利益冲突，</w:t>
      </w:r>
      <w:r>
        <w:rPr/>
        <w:sym w:font="Wingdings 2" w:char="00A3"/>
      </w:r>
      <w:r>
        <w:rPr>
          <w:rFonts w:hint="eastAsia"/>
          <w:lang w:val="en-US" w:eastAsia="zh-CN"/>
        </w:rPr>
        <w:t xml:space="preserve"> </w:t>
      </w:r>
      <w:r>
        <w:t>存在经济利益冲突→</w:t>
      </w:r>
    </w:p>
    <w:p>
      <w:pPr>
        <w:numPr>
          <w:ilvl w:val="0"/>
          <w:numId w:val="0"/>
        </w:numPr>
        <w:ind w:leftChars="0"/>
        <w:rPr>
          <w:rFonts w:hint="eastAsia" w:ascii="宋体" w:hAnsi="宋体" w:eastAsia="宋体" w:cs="宋体"/>
          <w:lang w:val="en-US" w:eastAsia="zh-CN"/>
        </w:rPr>
      </w:pPr>
    </w:p>
    <w:p>
      <w:pPr>
        <w:numPr>
          <w:ilvl w:val="0"/>
          <w:numId w:val="0"/>
        </w:numPr>
        <w:ind w:leftChars="0"/>
      </w:pPr>
      <w:r>
        <w:rPr>
          <w:rFonts w:hint="eastAsia" w:ascii="宋体" w:hAnsi="宋体" w:eastAsia="宋体" w:cs="宋体"/>
          <w:lang w:val="en-US" w:eastAsia="zh-CN"/>
        </w:rPr>
        <w:t>2.</w:t>
      </w:r>
      <w:r>
        <w:t>存在数额较大的经济利益冲突：</w:t>
      </w:r>
      <w:r>
        <w:rPr/>
        <w:sym w:font="Wingdings 2" w:char="00A3"/>
      </w:r>
      <w:r>
        <w:rPr>
          <w:rFonts w:hint="eastAsia"/>
          <w:lang w:val="en-US" w:eastAsia="zh-CN"/>
        </w:rPr>
        <w:t xml:space="preserve"> </w:t>
      </w:r>
      <w:r>
        <w:t>否，</w:t>
      </w:r>
      <w:r>
        <w:rPr/>
        <w:sym w:font="Wingdings 2" w:char="00A3"/>
      </w:r>
      <w:r>
        <w:rPr>
          <w:rFonts w:hint="eastAsia"/>
          <w:lang w:val="en-US" w:eastAsia="zh-CN"/>
        </w:rPr>
        <w:t xml:space="preserve"> </w:t>
      </w:r>
      <w:r>
        <w:t>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9"/>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59" w:type="dxa"/>
            <w:noWrap w:val="0"/>
            <w:vAlign w:val="center"/>
          </w:tcPr>
          <w:p>
            <w:pPr>
              <w:pStyle w:val="6"/>
            </w:pPr>
            <w:r>
              <w:t>要求向其他研究人员公开个人的经济利益冲突</w:t>
            </w:r>
          </w:p>
        </w:tc>
        <w:tc>
          <w:tcPr>
            <w:tcW w:w="109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default"/>
          <w:lang w:val="en-US" w:eastAsia="zh-CN"/>
        </w:rPr>
      </w:pPr>
    </w:p>
    <w:p>
      <w:pPr>
        <w:numPr>
          <w:ilvl w:val="0"/>
          <w:numId w:val="0"/>
        </w:numPr>
        <w:ind w:leftChars="0"/>
      </w:pPr>
      <w:r>
        <w:rPr>
          <w:rFonts w:hint="eastAsia" w:ascii="宋体" w:hAnsi="宋体" w:eastAsia="宋体" w:cs="宋体"/>
          <w:lang w:val="en-US" w:eastAsia="zh-CN"/>
        </w:rPr>
        <w:t>3.</w:t>
      </w:r>
      <w:r>
        <w:t>存在超过医生的年平均收入的经济利益冲突：</w:t>
      </w:r>
      <w:r>
        <w:rPr/>
        <w:sym w:font="Wingdings 2" w:char="00A3"/>
      </w:r>
      <w:r>
        <w:rPr>
          <w:rFonts w:hint="eastAsia"/>
          <w:lang w:val="en-US" w:eastAsia="zh-CN"/>
        </w:rPr>
        <w:t xml:space="preserve"> </w:t>
      </w:r>
      <w:r>
        <w:t>否，</w:t>
      </w:r>
      <w:r>
        <w:rPr/>
        <w:sym w:font="Wingdings 2" w:char="00A3"/>
      </w:r>
      <w:r>
        <w:rPr>
          <w:rFonts w:hint="eastAsia"/>
          <w:lang w:val="en-US" w:eastAsia="zh-CN"/>
        </w:rPr>
        <w:t xml:space="preserve"> </w:t>
      </w:r>
      <w:r>
        <w:t>是→</w:t>
      </w:r>
    </w:p>
    <w:tbl>
      <w:tblPr>
        <w:tblStyle w:val="8"/>
        <w:tblW w:w="8853"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29" w:type="dxa"/>
            <w:noWrap w:val="0"/>
            <w:vAlign w:val="center"/>
          </w:tcPr>
          <w:p>
            <w:pPr>
              <w:pStyle w:val="6"/>
            </w:pPr>
            <w:r>
              <w:t>向受试者公开研究者个人的经济利益冲突</w:t>
            </w:r>
          </w:p>
        </w:tc>
        <w:tc>
          <w:tcPr>
            <w:tcW w:w="112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29" w:type="dxa"/>
            <w:noWrap w:val="0"/>
            <w:vAlign w:val="center"/>
          </w:tcPr>
          <w:p>
            <w:pPr>
              <w:pStyle w:val="6"/>
            </w:pPr>
            <w:r>
              <w:t>任命独立的第三方监督研究</w:t>
            </w:r>
          </w:p>
        </w:tc>
        <w:tc>
          <w:tcPr>
            <w:tcW w:w="112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29" w:type="dxa"/>
            <w:noWrap w:val="0"/>
            <w:vAlign w:val="center"/>
          </w:tcPr>
          <w:p>
            <w:pPr>
              <w:pStyle w:val="6"/>
            </w:pPr>
            <w:r>
              <w:t>不允许担任研究者</w:t>
            </w:r>
          </w:p>
        </w:tc>
        <w:tc>
          <w:tcPr>
            <w:tcW w:w="112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29" w:type="dxa"/>
            <w:noWrap w:val="0"/>
            <w:vAlign w:val="center"/>
          </w:tcPr>
          <w:p>
            <w:pPr>
              <w:pStyle w:val="6"/>
            </w:pPr>
            <w:r>
              <w:t>不允许招募受试者和获取知情同意</w:t>
            </w:r>
          </w:p>
        </w:tc>
        <w:tc>
          <w:tcPr>
            <w:tcW w:w="1124" w:type="dxa"/>
            <w:noWrap w:val="0"/>
            <w:vAlign w:val="center"/>
          </w:tcPr>
          <w:p>
            <w:pPr>
              <w:pStyle w:val="6"/>
              <w:bidi w:val="0"/>
              <w:jc w:val="center"/>
              <w:rPr>
                <w:rFonts w:hint="default" w:ascii="Arial" w:hAnsi="Arial" w:eastAsia="宋体" w:cs="Arial"/>
                <w:sz w:val="21"/>
                <w:szCs w:val="22"/>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729" w:type="dxa"/>
            <w:noWrap w:val="0"/>
            <w:vAlign w:val="center"/>
          </w:tcPr>
          <w:p>
            <w:pPr>
              <w:pStyle w:val="6"/>
            </w:pPr>
            <w:r>
              <w:t>更换研究人员或研究角色</w:t>
            </w:r>
          </w:p>
        </w:tc>
        <w:tc>
          <w:tcPr>
            <w:tcW w:w="1124" w:type="dxa"/>
            <w:noWrap w:val="0"/>
            <w:vAlign w:val="center"/>
          </w:tcPr>
          <w:p>
            <w:pPr>
              <w:pStyle w:val="6"/>
              <w:bidi w:val="0"/>
              <w:jc w:val="center"/>
              <w:rPr>
                <w:rFonts w:hint="default" w:ascii="Arial" w:hAnsi="Arial" w:cs="Arial"/>
              </w:rPr>
            </w:pPr>
            <w:r>
              <w:rPr>
                <w:rFonts w:hint="default" w:ascii="Arial" w:hAnsi="Arial" w:cs="Arial"/>
              </w:rPr>
              <w:t>√</w:t>
            </w:r>
            <w:r>
              <w:rPr>
                <w:rFonts w:hint="eastAsia"/>
                <w:lang w:val="en-US" w:eastAsia="zh-CN"/>
              </w:rPr>
              <w:t xml:space="preserve">  </w:t>
            </w:r>
            <w:r>
              <w:rPr>
                <w:rFonts w:hint="default" w:ascii="Arial" w:hAnsi="Arial" w:cs="Arial"/>
                <w:lang w:val="en-US" w:eastAsia="zh-CN"/>
              </w:rPr>
              <w:t>×</w:t>
            </w:r>
            <w:r>
              <w:rPr>
                <w:rFonts w:hint="eastAsia" w:ascii="Arial" w:hAnsi="Arial" w:cs="Arial"/>
                <w:lang w:val="en-US" w:eastAsia="zh-CN"/>
              </w:rPr>
              <w:t xml:space="preserve"> </w:t>
            </w:r>
            <w:r>
              <w:rPr>
                <w:rFonts w:hint="eastAsia" w:ascii="宋体" w:hAnsi="宋体" w:eastAsia="宋体" w:cs="宋体"/>
                <w:lang w:val="en-US" w:eastAsia="zh-CN"/>
              </w:rPr>
              <w:t>－</w:t>
            </w:r>
          </w:p>
        </w:tc>
      </w:tr>
    </w:tbl>
    <w:p>
      <w:pPr>
        <w:numPr>
          <w:ilvl w:val="0"/>
          <w:numId w:val="0"/>
        </w:numPr>
        <w:ind w:leftChars="0"/>
        <w:rPr>
          <w:rFonts w:hint="eastAsia"/>
          <w:lang w:val="en-US" w:eastAsia="zh-CN"/>
        </w:rPr>
      </w:pPr>
    </w:p>
    <w:tbl>
      <w:tblPr>
        <w:tblStyle w:val="8"/>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67" w:type="dxa"/>
            <w:noWrap w:val="0"/>
            <w:vAlign w:val="center"/>
          </w:tcPr>
          <w:p>
            <w:pPr>
              <w:pStyle w:val="6"/>
              <w:rPr>
                <w:rFonts w:hint="default" w:ascii="宋体" w:hAnsi="宋体" w:eastAsia="宋体" w:cs="宋体"/>
                <w:sz w:val="21"/>
                <w:szCs w:val="21"/>
                <w:vertAlign w:val="baseline"/>
                <w:lang w:val="en-US" w:eastAsia="zh-CN"/>
              </w:rPr>
            </w:pPr>
            <w:r>
              <w:t>审查记录：</w:t>
            </w:r>
            <w:r>
              <w:rPr>
                <w:rFonts w:hint="eastAsia" w:ascii="宋体" w:hAnsi="宋体" w:eastAsia="宋体" w:cs="宋体"/>
              </w:rPr>
              <w:t>①</w:t>
            </w:r>
            <w:r>
              <w:t>问题。</w:t>
            </w:r>
            <w:r>
              <w:rPr>
                <w:rFonts w:hint="eastAsia" w:ascii="宋体" w:hAnsi="宋体" w:eastAsia="宋体" w:cs="宋体"/>
              </w:rPr>
              <w:t>②</w:t>
            </w:r>
            <w:r>
              <w:t>咨询专家。</w:t>
            </w:r>
            <w:r>
              <w:rPr>
                <w:rFonts w:hint="eastAsia" w:ascii="宋体" w:hAnsi="宋体" w:eastAsia="宋体" w:cs="宋体"/>
              </w:rPr>
              <w:t>③</w:t>
            </w:r>
            <w:r>
              <w:t>与研究者的交流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667" w:type="dxa"/>
            <w:noWrap w:val="0"/>
            <w:vAlign w:val="center"/>
          </w:tcPr>
          <w:p>
            <w:pPr>
              <w:bidi w:val="0"/>
              <w:rPr>
                <w:rFonts w:hint="default"/>
                <w:lang w:val="en-US" w:eastAsia="zh-CN"/>
              </w:rPr>
            </w:pPr>
          </w:p>
        </w:tc>
      </w:tr>
    </w:tbl>
    <w:p>
      <w:pPr>
        <w:numPr>
          <w:ilvl w:val="0"/>
          <w:numId w:val="0"/>
        </w:numPr>
        <w:ind w:leftChars="0"/>
        <w:rPr>
          <w:rFonts w:hint="eastAsia"/>
          <w:lang w:val="en-US" w:eastAsia="zh-CN"/>
        </w:rPr>
      </w:pPr>
    </w:p>
    <w:tbl>
      <w:tblPr>
        <w:tblStyle w:val="8"/>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67" w:type="dxa"/>
            <w:noWrap w:val="0"/>
            <w:vAlign w:val="center"/>
          </w:tcPr>
          <w:p>
            <w:pPr>
              <w:pStyle w:val="6"/>
              <w:rPr>
                <w:rFonts w:hint="default" w:ascii="宋体" w:hAnsi="宋体" w:eastAsia="宋体" w:cs="宋体"/>
                <w:sz w:val="21"/>
                <w:szCs w:val="21"/>
                <w:vertAlign w:val="baseline"/>
                <w:lang w:val="en-US" w:eastAsia="zh-CN"/>
              </w:rPr>
            </w:pPr>
            <w: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67" w:type="dxa"/>
            <w:noWrap w:val="0"/>
            <w:vAlign w:val="center"/>
          </w:tcPr>
          <w:p>
            <w:pPr>
              <w:pStyle w:val="6"/>
              <w:rPr>
                <w:rFonts w:hint="default"/>
                <w:lang w:val="en-US" w:eastAsia="zh-CN"/>
              </w:rPr>
            </w:pPr>
            <w:r>
              <w:rPr/>
              <w:sym w:font="Wingdings 2" w:char="00A3"/>
            </w:r>
            <w:r>
              <w:rPr>
                <w:rFonts w:hint="eastAsia"/>
                <w:lang w:val="en-US" w:eastAsia="zh-CN"/>
              </w:rPr>
              <w:t xml:space="preserve"> </w:t>
            </w:r>
            <w:r>
              <w:t>同意</w:t>
            </w:r>
            <w:bookmarkStart w:id="0" w:name="_GoBack"/>
            <w:bookmarkEnd w:id="0"/>
            <w:r>
              <w:t>，</w:t>
            </w:r>
            <w:r>
              <w:rPr/>
              <w:sym w:font="Wingdings 2" w:char="00A3"/>
            </w:r>
            <w:r>
              <w:rPr>
                <w:rFonts w:hint="eastAsia"/>
                <w:lang w:val="en-US" w:eastAsia="zh-CN"/>
              </w:rPr>
              <w:t xml:space="preserve"> </w:t>
            </w:r>
            <w:r>
              <w:t>必要的修改后同意，</w:t>
            </w:r>
            <w:r>
              <w:rPr/>
              <w:sym w:font="Wingdings 2" w:char="00A3"/>
            </w:r>
            <w:r>
              <w:rPr>
                <w:rFonts w:hint="eastAsia"/>
                <w:lang w:val="en-US" w:eastAsia="zh-CN"/>
              </w:rPr>
              <w:t xml:space="preserve"> </w:t>
            </w:r>
            <w: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67" w:type="dxa"/>
            <w:noWrap w:val="0"/>
            <w:vAlign w:val="center"/>
          </w:tcPr>
          <w:p>
            <w:pPr>
              <w:pStyle w:val="6"/>
            </w:pPr>
            <w:r>
              <w:rPr/>
              <w:sym w:font="Wingdings 2" w:char="00A3"/>
            </w:r>
            <w:r>
              <w:rPr>
                <w:rFonts w:hint="eastAsia"/>
                <w:lang w:val="en-US" w:eastAsia="zh-CN"/>
              </w:rPr>
              <w:t xml:space="preserve"> </w:t>
            </w:r>
            <w:r>
              <w:t>观察知情同意的过程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667" w:type="dxa"/>
            <w:noWrap w:val="0"/>
            <w:vAlign w:val="center"/>
          </w:tcPr>
          <w:p>
            <w:pPr>
              <w:pStyle w:val="6"/>
            </w:pPr>
            <w:r>
              <w:t>提交会议审查：</w:t>
            </w:r>
            <w:r>
              <w:rPr/>
              <w:sym w:font="Wingdings 2" w:char="00A3"/>
            </w:r>
            <w:r>
              <w:rPr>
                <w:rFonts w:hint="eastAsia"/>
                <w:lang w:val="en-US" w:eastAsia="zh-CN"/>
              </w:rPr>
              <w:t xml:space="preserve"> </w:t>
            </w:r>
            <w:r>
              <w:t>否，</w:t>
            </w:r>
            <w:r>
              <w:rPr/>
              <w:sym w:font="Wingdings 2" w:char="00A3"/>
            </w:r>
            <w:r>
              <w:rPr>
                <w:rFonts w:hint="eastAsia"/>
                <w:lang w:val="en-US" w:eastAsia="zh-CN"/>
              </w:rPr>
              <w:t xml:space="preserve"> </w:t>
            </w:r>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667" w:type="dxa"/>
            <w:noWrap w:val="0"/>
            <w:vAlign w:val="center"/>
          </w:tcPr>
          <w:p>
            <w:pPr>
              <w:pStyle w:val="6"/>
              <w:rPr>
                <w:rFonts w:hint="default" w:eastAsia="宋体"/>
                <w:lang w:val="en-US" w:eastAsia="zh-CN"/>
              </w:rPr>
            </w:pPr>
            <w:r>
              <w:t>建议年度／定期审查频率：</w:t>
            </w:r>
            <w:r>
              <w:rPr>
                <w:rFonts w:hint="eastAsia"/>
                <w:lang w:val="en-US" w:eastAsia="zh-CN"/>
              </w:rPr>
              <w:t xml:space="preserve">          个月</w:t>
            </w:r>
          </w:p>
        </w:tc>
      </w:tr>
    </w:tbl>
    <w:p>
      <w:pPr>
        <w:numPr>
          <w:ilvl w:val="0"/>
          <w:numId w:val="0"/>
        </w:numPr>
        <w:ind w:leftChars="0"/>
        <w:rPr>
          <w:rFonts w:hint="eastAsia"/>
          <w:lang w:val="en-US" w:eastAsia="zh-CN"/>
        </w:rPr>
      </w:pPr>
    </w:p>
    <w:tbl>
      <w:tblPr>
        <w:tblStyle w:val="8"/>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980" w:type="dxa"/>
            <w:noWrap w:val="0"/>
            <w:vAlign w:val="center"/>
          </w:tcPr>
          <w:p>
            <w:pPr>
              <w:pStyle w:val="6"/>
              <w:jc w:val="center"/>
              <w:rPr>
                <w:rFonts w:hint="default" w:ascii="宋体" w:hAnsi="宋体" w:eastAsia="宋体" w:cs="宋体"/>
                <w:sz w:val="21"/>
                <w:szCs w:val="21"/>
                <w:vertAlign w:val="baseline"/>
                <w:lang w:val="en-US" w:eastAsia="zh-CN"/>
              </w:rPr>
            </w:pPr>
            <w:r>
              <w:t>利益冲突声明</w:t>
            </w:r>
          </w:p>
        </w:tc>
        <w:tc>
          <w:tcPr>
            <w:tcW w:w="6687" w:type="dxa"/>
            <w:noWrap w:val="0"/>
            <w:vAlign w:val="center"/>
          </w:tcPr>
          <w:p>
            <w:pPr>
              <w:pStyle w:val="6"/>
              <w:rPr>
                <w:rFonts w:hint="default" w:ascii="宋体" w:hAnsi="宋体" w:eastAsia="宋体" w:cs="宋体"/>
                <w:sz w:val="21"/>
                <w:szCs w:val="21"/>
                <w:vertAlign w:val="baseline"/>
                <w:lang w:val="en-US" w:eastAsia="zh-CN"/>
              </w:rPr>
            </w:pPr>
            <w:r>
              <w:t>我与所审查的项目之间不存在任何利益冲突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980" w:type="dxa"/>
            <w:noWrap w:val="0"/>
            <w:vAlign w:val="center"/>
          </w:tcPr>
          <w:p>
            <w:pPr>
              <w:bidi w:val="0"/>
              <w:jc w:val="center"/>
              <w:rPr>
                <w:rFonts w:hint="default"/>
                <w:lang w:val="en-US" w:eastAsia="zh-CN"/>
              </w:rPr>
            </w:pPr>
            <w:r>
              <w:rPr>
                <w:rFonts w:hint="eastAsia"/>
                <w:lang w:val="en-US" w:eastAsia="zh-CN"/>
              </w:rPr>
              <w:t>主审委员签字</w:t>
            </w:r>
          </w:p>
        </w:tc>
        <w:tc>
          <w:tcPr>
            <w:tcW w:w="6687" w:type="dxa"/>
            <w:noWrap w:val="0"/>
            <w:vAlign w:val="bottom"/>
          </w:tcPr>
          <w:p>
            <w:pPr>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0" w:type="dxa"/>
            <w:noWrap w:val="0"/>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日期</w:t>
            </w:r>
          </w:p>
        </w:tc>
        <w:tc>
          <w:tcPr>
            <w:tcW w:w="6687" w:type="dxa"/>
            <w:noWrap w:val="0"/>
            <w:vAlign w:val="center"/>
          </w:tcPr>
          <w:p>
            <w:pPr>
              <w:numPr>
                <w:ilvl w:val="0"/>
                <w:numId w:val="0"/>
              </w:num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年        月      日</w:t>
            </w:r>
          </w:p>
        </w:tc>
      </w:tr>
    </w:tbl>
    <w:p>
      <w:pPr>
        <w:numPr>
          <w:ilvl w:val="0"/>
          <w:numId w:val="0"/>
        </w:numPr>
        <w:ind w:leftChars="0"/>
        <w:rPr>
          <w:rFonts w:hint="default" w:ascii="Arial" w:hAnsi="Arial" w:eastAsia="宋体" w:cs="Arial"/>
          <w:sz w:val="21"/>
          <w:szCs w:val="21"/>
          <w:vertAlign w:val="baseline"/>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2883E"/>
    <w:multiLevelType w:val="singleLevel"/>
    <w:tmpl w:val="A372883E"/>
    <w:lvl w:ilvl="0" w:tentative="0">
      <w:start w:val="1"/>
      <w:numFmt w:val="bullet"/>
      <w:lvlText w:val=""/>
      <w:lvlJc w:val="left"/>
      <w:pPr>
        <w:ind w:left="420" w:leftChars="0" w:hanging="420" w:firstLineChars="0"/>
      </w:pPr>
      <w:rPr>
        <w:rFonts w:hint="default" w:ascii="Wingdings" w:hAnsi="Wingdings"/>
        <w:sz w:val="16"/>
      </w:rPr>
    </w:lvl>
  </w:abstractNum>
  <w:abstractNum w:abstractNumId="1">
    <w:nsid w:val="D5F27BBB"/>
    <w:multiLevelType w:val="multilevel"/>
    <w:tmpl w:val="D5F27BBB"/>
    <w:lvl w:ilvl="0" w:tentative="0">
      <w:start w:val="1"/>
      <w:numFmt w:val="decimal"/>
      <w:lvlText w:val="%1."/>
      <w:lvlJc w:val="left"/>
      <w:pPr>
        <w:tabs>
          <w:tab w:val="left" w:pos="312"/>
        </w:tabs>
      </w:pPr>
      <w:rPr>
        <w:rFonts w:hint="default" w:ascii="宋体" w:hAnsi="宋体" w:eastAsia="宋体" w:cs="宋体"/>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DC2D6D0A"/>
    <w:multiLevelType w:val="singleLevel"/>
    <w:tmpl w:val="DC2D6D0A"/>
    <w:lvl w:ilvl="0" w:tentative="0">
      <w:start w:val="1"/>
      <w:numFmt w:val="bullet"/>
      <w:lvlText w:val=""/>
      <w:lvlJc w:val="left"/>
      <w:pPr>
        <w:ind w:left="420" w:leftChars="0" w:hanging="420" w:firstLineChars="0"/>
      </w:pPr>
      <w:rPr>
        <w:rFonts w:hint="default" w:ascii="Wingdings" w:hAnsi="Wingdings"/>
        <w:sz w:val="16"/>
      </w:rPr>
    </w:lvl>
  </w:abstractNum>
  <w:abstractNum w:abstractNumId="3">
    <w:nsid w:val="E7ACA0DD"/>
    <w:multiLevelType w:val="singleLevel"/>
    <w:tmpl w:val="E7ACA0DD"/>
    <w:lvl w:ilvl="0" w:tentative="0">
      <w:start w:val="1"/>
      <w:numFmt w:val="decimal"/>
      <w:suff w:val="space"/>
      <w:lvlText w:val="%1."/>
      <w:lvlJc w:val="left"/>
    </w:lvl>
  </w:abstractNum>
  <w:abstractNum w:abstractNumId="4">
    <w:nsid w:val="125BFA66"/>
    <w:multiLevelType w:val="singleLevel"/>
    <w:tmpl w:val="125BFA66"/>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YmYyMzM0YjE3Mjc2MzdmODYxMzAzNGVkNTlmYzkifQ=="/>
  </w:docVars>
  <w:rsids>
    <w:rsidRoot w:val="138C1C55"/>
    <w:rsid w:val="00126C82"/>
    <w:rsid w:val="053E28E3"/>
    <w:rsid w:val="09314C3E"/>
    <w:rsid w:val="138C1C55"/>
    <w:rsid w:val="198A0529"/>
    <w:rsid w:val="1FA92E26"/>
    <w:rsid w:val="23BF4036"/>
    <w:rsid w:val="2CCD02DC"/>
    <w:rsid w:val="2CD6483C"/>
    <w:rsid w:val="2D257EE5"/>
    <w:rsid w:val="36D51CBA"/>
    <w:rsid w:val="3EEC0EAF"/>
    <w:rsid w:val="4B0E17E4"/>
    <w:rsid w:val="546713FE"/>
    <w:rsid w:val="551261BF"/>
    <w:rsid w:val="553229CF"/>
    <w:rsid w:val="5CA14AAE"/>
    <w:rsid w:val="64855D97"/>
    <w:rsid w:val="7F55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5">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unhideWhenUsed/>
    <w:qFormat/>
    <w:uiPriority w:val="99"/>
    <w:pPr>
      <w:spacing w:after="12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2021-06-22T02:30:00Z</dcterms:created>
  <dc:creator>HP</dc:creator>
  <cp:lastModifiedBy>智炎伟</cp:lastModifiedBy>
  <dcterms:modified xsi:type="dcterms:W3CDTF">2023-11-16T06:50:19Z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80AA671783434356A6F9F2E87AD1B94E</vt:lpwstr>
  </property>
</Properties>
</file>