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6" w:line="211" w:lineRule="auto"/>
        <w:jc w:val="left"/>
        <w:outlineLvl w:val="9"/>
        <w:rPr>
          <w:rFonts w:hint="default" w:ascii="黑体" w:hAnsi="黑体" w:eastAsia="黑体" w:cs="黑体"/>
          <w:spacing w:val="-6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28"/>
          <w:szCs w:val="28"/>
          <w:lang w:val="en-US" w:eastAsia="zh-CN"/>
        </w:rPr>
        <w:t>附件6  维保费分项报价表（万安院区）</w:t>
      </w:r>
    </w:p>
    <w:p>
      <w:pPr>
        <w:spacing w:before="166" w:line="211" w:lineRule="auto"/>
        <w:jc w:val="center"/>
        <w:outlineLvl w:val="9"/>
        <w:rPr>
          <w:rFonts w:hint="eastAsia" w:ascii="黑体" w:hAnsi="黑体" w:eastAsia="黑体" w:cs="黑体"/>
          <w:spacing w:val="-6"/>
          <w:sz w:val="28"/>
          <w:szCs w:val="28"/>
          <w:lang w:val="en-US" w:eastAsia="zh-CN"/>
        </w:rPr>
      </w:pPr>
    </w:p>
    <w:p>
      <w:pPr>
        <w:spacing w:before="166" w:line="211" w:lineRule="auto"/>
        <w:jc w:val="center"/>
        <w:outlineLvl w:val="9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6"/>
          <w:sz w:val="28"/>
          <w:szCs w:val="28"/>
          <w:lang w:val="en-US" w:eastAsia="zh-CN"/>
        </w:rPr>
        <w:t>万安院区维保费</w:t>
      </w:r>
      <w:r>
        <w:rPr>
          <w:rFonts w:ascii="黑体" w:hAnsi="黑体" w:eastAsia="黑体" w:cs="黑体"/>
          <w:spacing w:val="-3"/>
          <w:sz w:val="28"/>
          <w:szCs w:val="28"/>
        </w:rPr>
        <w:t>分项报价表</w:t>
      </w:r>
    </w:p>
    <w:tbl>
      <w:tblPr>
        <w:tblStyle w:val="14"/>
        <w:tblpPr w:leftFromText="180" w:rightFromText="180" w:vertAnchor="text" w:horzAnchor="page" w:tblpXSpec="center" w:tblpY="361"/>
        <w:tblOverlap w:val="never"/>
        <w:tblW w:w="959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569"/>
        <w:gridCol w:w="4146"/>
        <w:gridCol w:w="1146"/>
        <w:gridCol w:w="1166"/>
        <w:gridCol w:w="8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741" w:type="dxa"/>
            <w:tcBorders>
              <w:right w:val="single" w:color="000000" w:sz="4" w:space="0"/>
            </w:tcBorders>
            <w:vAlign w:val="center"/>
          </w:tcPr>
          <w:p>
            <w:pPr>
              <w:spacing w:before="288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号</w:t>
            </w:r>
          </w:p>
        </w:tc>
        <w:tc>
          <w:tcPr>
            <w:tcW w:w="15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88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服务区域</w:t>
            </w:r>
          </w:p>
        </w:tc>
        <w:tc>
          <w:tcPr>
            <w:tcW w:w="41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89" w:line="22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维保内容</w:t>
            </w:r>
          </w:p>
        </w:tc>
        <w:tc>
          <w:tcPr>
            <w:tcW w:w="11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88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每年维保费</w:t>
            </w:r>
          </w:p>
        </w:tc>
        <w:tc>
          <w:tcPr>
            <w:tcW w:w="116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89" w:line="22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第三方年度检测费</w:t>
            </w:r>
          </w:p>
        </w:tc>
        <w:tc>
          <w:tcPr>
            <w:tcW w:w="83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89" w:line="226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#1门诊放射检查室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门诊放射检查80㎡、新风净化机组1台、 自控1台、 自动门2台、多联机内机4台外机1台；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#3门诊影像科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门诊影像科80㎡、新风净化机组1台、 自控1台、 自动门2台、多联机内机4台外机1台；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影像科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影像科355㎡、办公生活区453㎡、新风净化机组1台、 自控1台、 自动门2台、螺杆机组3台、循环水泵4台、多联机内机4台外机1台、 自动门4台、多联 机内机24台外机4台、精密空调2台；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EICU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EICU394㎡、办公生活区56㎡、新风净化机组1台、 自控1台、UPS1组、分体空调1台、隔离变压器2台、 自动门1台、风机盘管22台；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急诊手术室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净化手术室3间、走廊及辅房1区、办公生活区1区、净化空调机组4台、 自控4台、加湿器3台、螺杆机组3台、循环水泵8台、UPS1组、分体空调2台、 隔离变压器3台、 自动门3台、呼叫对讲系统1套、门禁系统1套、监控系统1套；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血液净化中心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血液净化中心1218㎡、办公生活区122㎡、新风净化机组3台、 自控3台、UPS1组、分体空调1台、风机盘管48台、纯水机1台；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静配中心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净化区130㎡、非净化区675㎡、新风净化机组3台、 自控3台、加湿器2台、直膨外机1台、分体空调2台、风机盘管20台、阴凉库2间，软水器1台；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检验科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检验科965㎡、办公生活区195㎡、净化机组5台、 自控5台、加湿器3台、直膨外机2台、UPS3组、分体空调2台、多联机内机27台外机3台、风机盘管10 台、软水器2台，纯水机1台；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输血科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输血科330㎡、办公生活区80㎡、新风净化机组1台、 自控1台、多联机内机11台外机1台、风机盘管7台；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病理科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病理科390㎡、办公生活区50㎡、新风净化机组2台、 自控2台、加湿器1台、直膨外机1台、多联机内机17台外机2台、风机盘管3台、纯水机1台、组合 式外排污染气体处理装置1台、智能环境控制台1台；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供应室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工作区655㎡、办公生活区115㎡、新风净化机组2台、 自控2台、多联机内机10台外机1台、风机盘管19台、软水器1台、纯水机1台；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内镜中心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工作区611㎡、办公生活区144㎡、新风净化机组2台、 自控2台、风机盘管42台、 自动门8台，纯水机2台；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手术室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净化手术室8间、洁净走廊及辅房1区、污物走廊及辅房1区、办公生活区1区、净化机组12台、 自控12台、加湿器10台、直膨机组3台、螺杆机组3台、 循环水泵8台、UPS1组、分体空调1台、隔离变压器8台、风机盘管30台、 自动门9台、呼叫对讲系统1套、门禁系统1套、监控系统1套、软水器1台；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ICU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病床13床、办公生活区251㎡、净化机组4台、 自控4台、加湿器4台、直膨外机2台、UPS1组、分体空调1台、隔离变压器3台、 自动门9台、呼叫对讲系 统1套、门禁系统1套、监控系统1套、软水器1台；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NICU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病床10床、办公生活区176㎡、净化机组3台、 自控3台、加湿器2台、直膨外机2台、UPS1组、分体空调1台、隔离变压器3台、风机盘管8台、 自动门7台 、呼叫对讲系统1套、门禁系统1套、监控系统1套、软水器1台；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产房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非净化产房1间、非净化手术室1间、办公生活区119㎡、新风净化机组1台、 自控1台、直膨外机2台、UPS1组、分体空调1台、隔离变压器2台、 自动门8 台、呼叫对讲系统1套、门禁系统1套、监控系统1套；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负压ICU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病房474㎡、办公生活区1区、净化机组2台、 自控2台、加湿器2台、直膨外机2台、模块机8台、循环水泵4台、风机盘管9台、 自动门3台、软水器1台；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负压手术室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净化手术室2间、办公生活区1区、净化机组3台、 自控3台、加湿器3台、直膨机组3台、风机盘管9台、 自动门6台、软水器1台；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#1-B1层负压门诊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工作区1450㎡、新风净化机组3台、 自控3台；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#1-1层负压门诊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工作区1461㎡、新风净化机组3台、 自控3台；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#1-2层负压病房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病房1346㎡、新风净化机组4台、 自控4台；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#1-3层负压病房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病房1346㎡、新风净化机组4台、 自控4台；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#1-4层负压病房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病房1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1D7E"/>
                <w:kern w:val="0"/>
                <w:sz w:val="24"/>
                <w:szCs w:val="24"/>
                <w:u w:val="none"/>
                <w:lang w:val="en-US" w:eastAsia="zh-CN"/>
              </w:rPr>
              <w:t>346m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²、新风净化机组4台、自控4台；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#1-5层负压病房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病房1346m²、新风净化机组4台、自控4台；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#2-B1层急诊科、综合内科、影像科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急诊科综合内科3450m²、新风净化机组7台、自控7台、加湿器1台；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#2-1层药房、收费室、儿科门诊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药房收费室2666m²、新风净化机组5台、自控5台、加湿器1台；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#2-2层超声科、内科门诊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药房收费室2245m²、新风净化机组5台、自控5台、加湿器1台；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#2-3层口腔科、耳鼻喉、产科门诊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口腔科、耳鼻喉、产科门诊2309m²、新风净化机组5台、自控5台、加湿器2台；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#2-4层大厅新风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大厅500m²、新风净化机组2台、自控2台、加湿器2台；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#2-5层康复科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康复科2187m²、新风净化机组3台、自控3台；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A0035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#2-6层产科、综合外科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产科、综合外科2187m²、新风净化机组3台、自控3台；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#2-7层研究性病房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病房3238m²、新风净化机组3台、自控3台；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#3-B1层门诊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门诊1384m²、新风净化机组4台、自控4台；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#3-B1层负压病房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安护医疗1309m²、新风净化机组4台、自控4台；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#3-B2层负压病房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安护医疗1243m²、新风净化机组4台、自控4台；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#3-B3层负压病房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安护医疗1239m²、新风净化机组4台、自控4台；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#3-4层办公区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办公区360m²、新风净化机组2台、自控2台；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#3-5层负压病房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心导管1164m²、新风净化机组4台、自控4台；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#4层机组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餐厅大厅、会议室1164m²、新风净化机组2台、自控2台、直膨机1台；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9599" w:type="dxa"/>
            <w:gridSpan w:val="6"/>
            <w:vAlign w:val="center"/>
          </w:tcPr>
          <w:p>
            <w:pPr>
              <w:spacing w:before="223" w:line="193" w:lineRule="auto"/>
              <w:ind w:left="132"/>
              <w:jc w:val="center"/>
            </w:pPr>
            <w:r>
              <w:rPr>
                <w:rFonts w:hint="eastAsia" w:ascii="宋体" w:hAnsi="宋体" w:cs="宋体"/>
                <w:b/>
                <w:bCs/>
                <w:spacing w:val="-1"/>
                <w:position w:val="14"/>
                <w:sz w:val="28"/>
                <w:szCs w:val="28"/>
                <w:lang w:val="en-US" w:eastAsia="zh-CN"/>
              </w:rPr>
              <w:t>维保总费用：</w:t>
            </w:r>
          </w:p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9599" w:type="dxa"/>
            <w:gridSpan w:val="6"/>
            <w:vAlign w:val="center"/>
          </w:tcPr>
          <w:p>
            <w:pPr>
              <w:pStyle w:val="1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  <w:t>维保要求</w:t>
            </w:r>
          </w:p>
          <w:p>
            <w:pPr>
              <w:pStyle w:val="10"/>
              <w:jc w:val="both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  <w:t>1、负责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维保区域/科室内的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净化机组及配套附属设备的日常维护、维修及除尘保养，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负担2000 元（含）以下配件费用。净化机组及配套附属设备应实地勘察后列出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详细清单，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包含但不限于：控制系统/控制柜、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新风/净化机组、直膨机、风机盘管、加湿器、除湿机、送、回、排风、及冷热源系统等。</w:t>
            </w:r>
          </w:p>
          <w:p>
            <w:pPr>
              <w:pStyle w:val="10"/>
              <w:jc w:val="both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2、协助做好维保区域/科室内其他不归属于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净化系统的设备的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日常除尘、清洗、保养、巡检及维护。维修配件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由甲方采购后交由服务方免费义务更换。如：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医用气体、给排水系统、自动门、UPS电源系统等（附详细清单）。</w:t>
            </w:r>
          </w:p>
          <w:p>
            <w:pPr>
              <w:pStyle w:val="1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3、维保服务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  <w:t>不包含：医疗设备（如手术室及ICU手术及治疗用设备，检验科检验设备，实验室实验设备等），供应室消毒设备等；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按照相关行业标准和设备设计要求进行初中效过滤器的清洗，初、中、高效过滤器的更换，以及清单内其他耗材的更换，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  <w:t>费用按照据实结算;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  <w:t>4、含每半年自行调校检测（每次更换滤网后自行检测），并出具自检报告;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  <w:t>5、每年根据实际需求确定是否第三方年度检测及出具检测报告，费用据实结算，此项不计算总价;</w:t>
            </w: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  <w:t>6、含7*24小时的不少于2名工程师的驻场服务;服从公司和医院双重管理。</w:t>
            </w: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  <w:t>7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  <w:t>有书面（纸质和电子版）每日.周.月.季.半年；每年等详细的工作保养计划; 有完善的信息化管理体统，覆盖整个服务过程；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  <w:t>保障净化科室全年安全 、正常 、有序的运行。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  <w:t>负责维保区域/科室内保修期内的设备和未列入采购方相关设备的接修、日常简单维护、巡检、风险评估、质控检测、常规保养等服务。</w:t>
            </w:r>
          </w:p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Hju4YD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A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spacing w:after="120"/>
      <w:ind w:firstLine="420"/>
    </w:pPr>
  </w:style>
  <w:style w:type="paragraph" w:styleId="3">
    <w:name w:val="Body Text"/>
    <w:basedOn w:val="1"/>
    <w:next w:val="4"/>
    <w:qFormat/>
    <w:uiPriority w:val="99"/>
    <w:rPr>
      <w:rFonts w:ascii="Times New Roman" w:hAnsi="Times New Roman"/>
      <w:kern w:val="0"/>
      <w:sz w:val="26"/>
      <w:szCs w:val="24"/>
    </w:rPr>
  </w:style>
  <w:style w:type="paragraph" w:customStyle="1" w:styleId="4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5">
    <w:name w:val="大标题"/>
    <w:basedOn w:val="1"/>
    <w:next w:val="6"/>
    <w:qFormat/>
    <w:uiPriority w:val="0"/>
    <w:pPr>
      <w:pageBreakBefore/>
      <w:spacing w:after="200" w:line="720" w:lineRule="auto"/>
      <w:jc w:val="center"/>
      <w:outlineLvl w:val="0"/>
    </w:pPr>
    <w:rPr>
      <w:rFonts w:ascii="黑体" w:eastAsia="黑体"/>
      <w:sz w:val="32"/>
      <w:szCs w:val="30"/>
      <w:lang w:eastAsia="en-US" w:bidi="en-US"/>
    </w:rPr>
  </w:style>
  <w:style w:type="paragraph" w:styleId="6">
    <w:name w:val="Body Text First Indent 2"/>
    <w:basedOn w:val="7"/>
    <w:next w:val="1"/>
    <w:qFormat/>
    <w:uiPriority w:val="0"/>
    <w:pPr>
      <w:spacing w:after="120"/>
      <w:ind w:firstLine="420" w:firstLineChars="200"/>
    </w:pPr>
  </w:style>
  <w:style w:type="paragraph" w:styleId="7">
    <w:name w:val="Body Text Indent"/>
    <w:basedOn w:val="1"/>
    <w:next w:val="8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List 2"/>
    <w:basedOn w:val="1"/>
    <w:qFormat/>
    <w:uiPriority w:val="0"/>
    <w:pPr>
      <w:ind w:left="100" w:leftChars="200" w:hanging="200" w:hangingChars="200"/>
    </w:p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2024-04-08T01:15:59Z</dcterms:created>
  <dc:creator>Administrator</dc:creator>
  <cp:lastModifiedBy>Administrator</cp:lastModifiedBy>
  <dcterms:modified xsi:type="dcterms:W3CDTF">2024-04-08T01:17:58Z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