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立项资料的要求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1、请按照机构及伦理立项资料目录要求进行排序整理，不要改动顺序及目录内容（不适用的可以写 NA )。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2、请准备黑色快劳文件夹装订资料（一式两份），黑色快劳文件夹侧签打印临床试验名称、申办方及cro公司名称和本中心 PI 姓名，按目录序号做好标签。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3、试验用药品的包装盒标签样本、试验用药品及其他试验相关材料的说明（若未在试验方案或研究者手册中说明）需要单独提供。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已上市试验用药品请提供说明书，未上市试验用药品请提供稳定性报告。</w:t>
      </w:r>
    </w:p>
    <w:p>
      <w:pPr>
        <w:numPr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5、申办方出具对本中心的委托书时需写明具体专业和 PI 姓名。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6、临床试验申请表中申请事项一栏请填写临床试验类别（如 I 、 II 、 III 、 IV 期临床试验、生物等效性试验等）。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7、机构办收到纸质的立项资料</w:t>
      </w:r>
      <w:r>
        <w:rPr>
          <w:rFonts w:hint="eastAsia"/>
          <w:sz w:val="28"/>
          <w:szCs w:val="28"/>
          <w:lang w:val="en-US" w:eastAsia="zh-CN"/>
        </w:rPr>
        <w:t>后，1-3个工作日完成</w:t>
      </w:r>
      <w:r>
        <w:rPr>
          <w:rFonts w:hint="eastAsia"/>
          <w:sz w:val="28"/>
          <w:szCs w:val="28"/>
        </w:rPr>
        <w:t>形式审查。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8、立项成功后机构将及时将立项资料转交伦理委员会， CRA / CRC 在收到立项成功的回复后请及时向机构办申请本中心的协议模板（请说明是否有 CRO 公司）。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注意：无国家局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临床试验批件、无组长单位伦理批件、无药检报告均可接收立项，最迟需要在启动前质控递交给机构办。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B2CEE"/>
    <w:multiLevelType w:val="singleLevel"/>
    <w:tmpl w:val="684B2CE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86FCB"/>
    <w:rsid w:val="48FA0F0B"/>
    <w:rsid w:val="4F35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2025-03-07T03:46:28Z</dcterms:created>
  <dc:creator>Administrator</dc:creator>
  <cp:lastModifiedBy>Administrator</cp:lastModifiedBy>
  <dcterms:modified xsi:type="dcterms:W3CDTF">2025-03-07T03:52:12Z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